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E304F" w:rsidRPr="00DE304F" w:rsidRDefault="00DE304F" w:rsidP="00DE304F">
      <w:pPr>
        <w:pStyle w:val="Titel"/>
        <w:rPr>
          <w:rStyle w:val="berschrift1Zchn"/>
          <w:rFonts w:asciiTheme="majorHAnsi" w:eastAsiaTheme="majorEastAsia" w:hAnsiTheme="majorHAnsi" w:cstheme="majorBidi"/>
          <w:b w:val="0"/>
          <w:bCs w:val="0"/>
          <w:kern w:val="28"/>
          <w:sz w:val="56"/>
          <w:szCs w:val="56"/>
          <w:lang w:eastAsia="en-US"/>
        </w:rPr>
      </w:pPr>
      <w:r w:rsidRPr="00DE304F">
        <w:rPr>
          <w:rStyle w:val="berschrift1Zchn"/>
          <w:rFonts w:asciiTheme="majorHAnsi" w:eastAsiaTheme="majorEastAsia" w:hAnsiTheme="majorHAnsi" w:cstheme="majorBidi"/>
          <w:b w:val="0"/>
          <w:bCs w:val="0"/>
          <w:kern w:val="28"/>
          <w:sz w:val="56"/>
          <w:szCs w:val="56"/>
          <w:lang w:eastAsia="en-US"/>
        </w:rPr>
        <w:t>Bausteinschnapsen „Pro Mariendom“</w:t>
      </w:r>
    </w:p>
    <w:p w:rsidR="00DE304F" w:rsidRPr="00DE304F" w:rsidRDefault="00DE304F" w:rsidP="00DE304F">
      <w:pPr>
        <w:pStyle w:val="Untertitel"/>
        <w:rPr>
          <w:rStyle w:val="berschrift1Zchn"/>
          <w:rFonts w:asciiTheme="minorHAnsi" w:eastAsiaTheme="minorEastAsia" w:hAnsiTheme="minorHAnsi" w:cstheme="minorBidi"/>
          <w:b w:val="0"/>
          <w:bCs w:val="0"/>
          <w:kern w:val="0"/>
          <w:sz w:val="22"/>
          <w:szCs w:val="22"/>
          <w:lang w:eastAsia="en-US"/>
        </w:rPr>
      </w:pPr>
      <w:r>
        <w:rPr>
          <w:rStyle w:val="berschrift1Zchn"/>
          <w:rFonts w:asciiTheme="minorHAnsi" w:eastAsiaTheme="minorEastAsia" w:hAnsiTheme="minorHAnsi" w:cstheme="minorBidi"/>
          <w:b w:val="0"/>
          <w:bCs w:val="0"/>
          <w:kern w:val="0"/>
          <w:sz w:val="22"/>
          <w:szCs w:val="22"/>
          <w:lang w:eastAsia="en-US"/>
        </w:rPr>
        <w:t>Vorgeschlagenes Regelwerk zur Durchführung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b/>
          <w:color w:val="222222"/>
          <w:lang w:val="de-DE" w:eastAsia="de-DE"/>
        </w:rPr>
      </w:pPr>
    </w:p>
    <w:p w:rsidR="00DE304F" w:rsidRPr="0065470C" w:rsidRDefault="00DE304F" w:rsidP="00DE304F">
      <w:pPr>
        <w:pStyle w:val="berschrift1"/>
        <w:rPr>
          <w:lang w:val="de-DE"/>
        </w:rPr>
      </w:pPr>
      <w:r w:rsidRPr="00A06A98">
        <w:rPr>
          <w:lang w:val="de-DE"/>
        </w:rPr>
        <w:t>Allgemeines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A06A98">
        <w:rPr>
          <w:rFonts w:ascii="Arial" w:eastAsia="Times New Roman" w:hAnsi="Arial" w:cs="Arial"/>
          <w:color w:val="222222"/>
          <w:lang w:val="de-DE" w:eastAsia="de-DE"/>
        </w:rPr>
        <w:t>Ein Preisschnapsen ist ein nach einem modifizierten K.-o.-System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abgewickeltes Schnaps-Turnier.</w:t>
      </w:r>
      <w:r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Während beim üblichen K.-o.-System ein Spieler nach seiner ersten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Niederlage aus dem Wettbewerb ausscheidet, so ist dies beim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 xml:space="preserve">Preisschnapsen nicht der Fall, da ein Spieler </w:t>
      </w:r>
      <w:r w:rsidRPr="00A06A98">
        <w:rPr>
          <w:rFonts w:ascii="Arial" w:eastAsia="Times New Roman" w:hAnsi="Arial" w:cs="Arial"/>
          <w:b/>
          <w:color w:val="222222"/>
          <w:lang w:val="de-DE" w:eastAsia="de-DE"/>
        </w:rPr>
        <w:t>mehrere Teilnahmekarten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erwerben kann.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b/>
          <w:color w:val="222222"/>
          <w:lang w:val="de-DE" w:eastAsia="de-DE"/>
        </w:rPr>
      </w:pPr>
    </w:p>
    <w:p w:rsidR="00DE304F" w:rsidRPr="0065470C" w:rsidRDefault="00DE304F" w:rsidP="00DE304F">
      <w:pPr>
        <w:pStyle w:val="berschrift1"/>
        <w:rPr>
          <w:lang w:val="de-DE"/>
        </w:rPr>
      </w:pPr>
      <w:r w:rsidRPr="00A06A98">
        <w:rPr>
          <w:lang w:val="de-DE"/>
        </w:rPr>
        <w:t>Teilnahmekarten</w:t>
      </w:r>
      <w:r w:rsidRPr="0065470C">
        <w:rPr>
          <w:lang w:val="de-DE"/>
        </w:rPr>
        <w:t xml:space="preserve"> 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A06A98">
        <w:rPr>
          <w:rFonts w:ascii="Arial" w:eastAsia="Times New Roman" w:hAnsi="Arial" w:cs="Arial"/>
          <w:color w:val="222222"/>
          <w:lang w:val="de-DE" w:eastAsia="de-DE"/>
        </w:rPr>
        <w:t>Vor Beginn des Turniers</w:t>
      </w:r>
      <w:r>
        <w:rPr>
          <w:rFonts w:ascii="Arial" w:eastAsia="Times New Roman" w:hAnsi="Arial" w:cs="Arial"/>
          <w:color w:val="222222"/>
          <w:lang w:val="de-DE" w:eastAsia="de-DE"/>
        </w:rPr>
        <w:t xml:space="preserve"> auf Pfarrebene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proofErr w:type="spellStart"/>
      <w:r w:rsidRPr="00A06A98">
        <w:rPr>
          <w:rFonts w:ascii="Arial" w:eastAsia="Times New Roman" w:hAnsi="Arial" w:cs="Arial"/>
          <w:color w:val="222222"/>
          <w:lang w:val="de-DE" w:eastAsia="de-DE"/>
        </w:rPr>
        <w:t>werden</w:t>
      </w:r>
      <w:proofErr w:type="spellEnd"/>
      <w:r w:rsidRPr="00A06A98">
        <w:rPr>
          <w:rFonts w:ascii="Arial" w:eastAsia="Times New Roman" w:hAnsi="Arial" w:cs="Arial"/>
          <w:color w:val="222222"/>
          <w:lang w:val="de-DE" w:eastAsia="de-DE"/>
        </w:rPr>
        <w:t xml:space="preserve"> Teilnahmekarten aufgelegt, die Anzahl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der Teilnahmekarten ist stets eine Zweierpotenz z. B. 32, 64, 128 usw.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und richtet sich nach der erwarteten Anzahl der Spieler.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Jeder Spieler darf bis zu drei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> 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Teilnahmekarten (Standkarten, Leben)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kaufen.</w:t>
      </w:r>
      <w:r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Unverkaufte Teilnahmekarten sind Freilose.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65470C" w:rsidRDefault="00DE304F" w:rsidP="00DE304F">
      <w:pPr>
        <w:pStyle w:val="berschrift1"/>
        <w:rPr>
          <w:lang w:val="de-DE"/>
        </w:rPr>
      </w:pPr>
      <w:r w:rsidRPr="00A06A98">
        <w:rPr>
          <w:lang w:val="de-DE"/>
        </w:rPr>
        <w:t>Auslosungen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DE304F">
        <w:rPr>
          <w:rFonts w:ascii="Arial" w:eastAsia="Times New Roman" w:hAnsi="Arial" w:cs="Arial"/>
          <w:color w:val="222222"/>
          <w:lang w:val="de-DE" w:eastAsia="de-DE"/>
        </w:rPr>
        <w:t>B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ei den Auslosungen wird so vorgegangen, dass ein Spieler, der mehrere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Teilnahmekarten besitzt, nach Möglichkeit nicht gegen sich selbst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spielen muss.</w:t>
      </w:r>
      <w:r>
        <w:rPr>
          <w:rFonts w:ascii="Arial" w:eastAsia="Times New Roman" w:hAnsi="Arial" w:cs="Arial"/>
          <w:color w:val="222222"/>
          <w:lang w:val="de-DE" w:eastAsia="de-DE"/>
        </w:rPr>
        <w:t xml:space="preserve"> Nach der Ersten Spielrunde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 xml:space="preserve"> kann dies jedoch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> </w:t>
      </w:r>
      <w:r>
        <w:rPr>
          <w:rFonts w:ascii="Arial" w:eastAsia="Times New Roman" w:hAnsi="Arial" w:cs="Arial"/>
          <w:color w:val="222222"/>
          <w:lang w:val="de-DE" w:eastAsia="de-DE"/>
        </w:rPr>
        <w:t>vorkommen. I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n diesem Fall muss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der betreffende Spieler eine Teilnahmekarte abgeben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> 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und darf mit der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anderen Karte in die nächste Runde aufsteigen.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65470C" w:rsidRDefault="00DE304F" w:rsidP="00DE304F">
      <w:pPr>
        <w:pStyle w:val="berschrift1"/>
        <w:rPr>
          <w:lang w:val="de-DE"/>
        </w:rPr>
      </w:pPr>
      <w:r w:rsidRPr="00A06A98">
        <w:rPr>
          <w:lang w:val="de-DE"/>
        </w:rPr>
        <w:t>Wie wird gelost?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A06A98">
        <w:rPr>
          <w:rFonts w:ascii="Arial" w:eastAsia="Times New Roman" w:hAnsi="Arial" w:cs="Arial"/>
          <w:color w:val="222222"/>
          <w:lang w:val="de-DE" w:eastAsia="de-DE"/>
        </w:rPr>
        <w:t>Angenommen es werden 64 Teilnahmekarten aufgelegt, so sind in der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ersten Runde des Turniers 32 Spiele durchzuführen.</w:t>
      </w:r>
      <w:r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Für die Auslosung verwendet man zwei Töpfe - einen rechten und einen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linken Topf - in die jeweils 32 Karten mit den Nummern 1 bis 32 gelegt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werden.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A06A98">
        <w:rPr>
          <w:rFonts w:ascii="Arial" w:eastAsia="Times New Roman" w:hAnsi="Arial" w:cs="Arial"/>
          <w:color w:val="222222"/>
          <w:lang w:val="de-DE" w:eastAsia="de-DE"/>
        </w:rPr>
        <w:t>Nun ziehen die einzelnen Teilnehmer entsprechend der Anzahl der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Teilnahmekarten, die sie gekauft haben, wobei mit dem linken Topf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begonnen wird: hat etwa der erste Spieler drei Teilnahmekarten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gekauft, so zieht er drei K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arten aus dem linken Topf, usw. 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A06A98">
        <w:rPr>
          <w:rFonts w:ascii="Arial" w:eastAsia="Times New Roman" w:hAnsi="Arial" w:cs="Arial"/>
          <w:color w:val="222222"/>
          <w:lang w:val="de-DE" w:eastAsia="de-DE"/>
        </w:rPr>
        <w:t>Erst wenn alle Karten aus dem linken Topf gezogen sind, wird aus dem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rechten Topf gezogen.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A06A98">
        <w:rPr>
          <w:rFonts w:ascii="Arial" w:eastAsia="Times New Roman" w:hAnsi="Arial" w:cs="Arial"/>
          <w:color w:val="222222"/>
          <w:lang w:val="de-DE" w:eastAsia="de-DE"/>
        </w:rPr>
        <w:t>Ist der linke Topf geleert und muss de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r Spieler, der die letzte Karte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daraus gezogen hat, auch aus dem rechten Topf ziehen, so kann es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vorkommen, dass er rechts eine Nummer zieht, die er bereits aus dem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linken Topf gezogen hat - in diesem Fall muss der Spieler ein weiteres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M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>al aus dem rechten Topf ziehen.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A06A98">
        <w:rPr>
          <w:rFonts w:ascii="Arial" w:eastAsia="Times New Roman" w:hAnsi="Arial" w:cs="Arial"/>
          <w:color w:val="222222"/>
          <w:lang w:val="de-DE" w:eastAsia="de-DE"/>
        </w:rPr>
        <w:t xml:space="preserve">Die Nummern, die im rechten Topf </w:t>
      </w:r>
      <w:proofErr w:type="gramStart"/>
      <w:r w:rsidRPr="00A06A98">
        <w:rPr>
          <w:rFonts w:ascii="Arial" w:eastAsia="Times New Roman" w:hAnsi="Arial" w:cs="Arial"/>
          <w:color w:val="222222"/>
          <w:lang w:val="de-DE" w:eastAsia="de-DE"/>
        </w:rPr>
        <w:t>übrig bleiben</w:t>
      </w:r>
      <w:proofErr w:type="gramEnd"/>
      <w:r w:rsidRPr="00A06A98">
        <w:rPr>
          <w:rFonts w:ascii="Arial" w:eastAsia="Times New Roman" w:hAnsi="Arial" w:cs="Arial"/>
          <w:color w:val="222222"/>
          <w:lang w:val="de-DE" w:eastAsia="de-DE"/>
        </w:rPr>
        <w:t>, nachdem alle S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pieler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ihre Rundennummern gezogen haben, sind Freilose, d. h. die Spieler,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die die entsprechenden Nummern aus dem linken Topf gezogen haben,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steigen kampflos in die nächste Runde auf.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A06A98">
        <w:rPr>
          <w:rFonts w:ascii="Arial" w:eastAsia="Times New Roman" w:hAnsi="Arial" w:cs="Arial"/>
          <w:color w:val="222222"/>
          <w:lang w:val="de-DE" w:eastAsia="de-DE"/>
        </w:rPr>
        <w:t>Die Teilnehmer, die jeweils dieselbe Nu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mmer gezogen haben, treffen nun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in der ersten Runde aufeinander und spielen eine Partie auf zwei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gewonnene </w:t>
      </w:r>
      <w:proofErr w:type="spellStart"/>
      <w:r w:rsidRPr="0065470C">
        <w:rPr>
          <w:rFonts w:ascii="Arial" w:eastAsia="Times New Roman" w:hAnsi="Arial" w:cs="Arial"/>
          <w:color w:val="222222"/>
          <w:lang w:val="de-DE" w:eastAsia="de-DE"/>
        </w:rPr>
        <w:t>Bummerl</w:t>
      </w:r>
      <w:proofErr w:type="spellEnd"/>
      <w:r w:rsidRPr="0065470C">
        <w:rPr>
          <w:rFonts w:ascii="Arial" w:eastAsia="Times New Roman" w:hAnsi="Arial" w:cs="Arial"/>
          <w:color w:val="222222"/>
          <w:lang w:val="de-DE" w:eastAsia="de-DE"/>
        </w:rPr>
        <w:t>.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65470C" w:rsidRDefault="00DE304F" w:rsidP="00DE304F">
      <w:pPr>
        <w:pStyle w:val="berschrift1"/>
        <w:rPr>
          <w:lang w:val="de-DE"/>
        </w:rPr>
      </w:pPr>
      <w:r w:rsidRPr="00A06A98">
        <w:rPr>
          <w:lang w:val="de-DE"/>
        </w:rPr>
        <w:t>Spielrunden</w:t>
      </w:r>
      <w:r w:rsidRPr="0065470C">
        <w:rPr>
          <w:lang w:val="de-DE"/>
        </w:rPr>
        <w:t xml:space="preserve"> 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A06A98">
        <w:rPr>
          <w:rFonts w:ascii="Arial" w:eastAsia="Times New Roman" w:hAnsi="Arial" w:cs="Arial"/>
          <w:color w:val="222222"/>
          <w:lang w:val="de-DE" w:eastAsia="de-DE"/>
        </w:rPr>
        <w:t>Selbstredend können nicht alle P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artien einer Runde gleichzeitig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durchgeführt werden, da ein Spieler, der mehrere Teilnahmekarten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besitzt, ja gegen mehrere Gegner antreten muss.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A06A98">
        <w:rPr>
          <w:rFonts w:ascii="Arial" w:eastAsia="Times New Roman" w:hAnsi="Arial" w:cs="Arial"/>
          <w:color w:val="222222"/>
          <w:lang w:val="de-DE" w:eastAsia="de-DE"/>
        </w:rPr>
        <w:t>Es wird nicht eingeteilt, welcher Spiel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er wann gegen welchen Gegner zu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spielen hat. Jeder Spieler sucht sich selbst seinen jeweiligen Gegner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- wobei die Turnierleitung natürlich behilflich ist.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65470C">
        <w:rPr>
          <w:rFonts w:ascii="Arial" w:eastAsia="Times New Roman" w:hAnsi="Arial" w:cs="Arial"/>
          <w:color w:val="222222"/>
          <w:lang w:val="de-DE" w:eastAsia="de-DE"/>
        </w:rPr>
        <w:t>D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er Gewinner einer Partie behält seine Te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ilnahmekarte und steigt in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die nächste Runde auf, der Verlierer muss eine Teilnahmekarte abgeben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 xml:space="preserve">- solange er jedoch noch weitere Teilnahmekarten besitzt, verbleibt </w:t>
      </w:r>
      <w:proofErr w:type="gramStart"/>
      <w:r w:rsidRPr="00A06A98">
        <w:rPr>
          <w:rFonts w:ascii="Arial" w:eastAsia="Times New Roman" w:hAnsi="Arial" w:cs="Arial"/>
          <w:color w:val="222222"/>
          <w:lang w:val="de-DE" w:eastAsia="de-DE"/>
        </w:rPr>
        <w:t>er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im</w:t>
      </w:r>
      <w:proofErr w:type="gramEnd"/>
      <w:r w:rsidRPr="00A06A98">
        <w:rPr>
          <w:rFonts w:ascii="Arial" w:eastAsia="Times New Roman" w:hAnsi="Arial" w:cs="Arial"/>
          <w:color w:val="222222"/>
          <w:lang w:val="de-DE" w:eastAsia="de-DE"/>
        </w:rPr>
        <w:t xml:space="preserve"> Turnier.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A06A98">
        <w:rPr>
          <w:rFonts w:ascii="Arial" w:eastAsia="Times New Roman" w:hAnsi="Arial" w:cs="Arial"/>
          <w:color w:val="222222"/>
          <w:lang w:val="de-DE" w:eastAsia="de-DE"/>
        </w:rPr>
        <w:t xml:space="preserve">Sind alle Spiele einer Runde beendet, 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so werden die Paarungen für die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nächste Runde gelost, wobei die Spieler, die noch mehr als eine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 </w:t>
      </w:r>
      <w:r w:rsidRPr="00A06A98">
        <w:rPr>
          <w:rFonts w:ascii="Arial" w:eastAsia="Times New Roman" w:hAnsi="Arial" w:cs="Arial"/>
          <w:color w:val="222222"/>
          <w:lang w:val="de-DE" w:eastAsia="de-DE"/>
        </w:rPr>
        <w:t>Teilnahm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>ekarte besitzen, zuerst ziehen.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65470C" w:rsidRDefault="00DE304F" w:rsidP="00DE304F">
      <w:pPr>
        <w:pStyle w:val="berschrift1"/>
        <w:rPr>
          <w:lang w:val="de-DE"/>
        </w:rPr>
      </w:pPr>
      <w:r w:rsidRPr="00A06A98">
        <w:rPr>
          <w:lang w:val="de-DE"/>
        </w:rPr>
        <w:t>Preise</w:t>
      </w:r>
      <w:r>
        <w:rPr>
          <w:lang w:val="de-DE"/>
        </w:rPr>
        <w:t xml:space="preserve"> / Gewinner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65470C">
        <w:rPr>
          <w:rFonts w:ascii="Arial" w:eastAsia="Times New Roman" w:hAnsi="Arial" w:cs="Arial"/>
          <w:color w:val="222222"/>
          <w:lang w:val="de-DE" w:eastAsia="de-DE"/>
        </w:rPr>
        <w:t>Es gibt keine Preise, die an die Teilnehmer ausgeschüttet werden. Der Tu</w:t>
      </w:r>
      <w:r>
        <w:rPr>
          <w:rFonts w:ascii="Arial" w:eastAsia="Times New Roman" w:hAnsi="Arial" w:cs="Arial"/>
          <w:color w:val="222222"/>
          <w:lang w:val="de-DE" w:eastAsia="de-DE"/>
        </w:rPr>
        <w:t>r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>niersieger, Finalist und der dritte Platz bekommen jedenfalls die Möglichkeit in die nächste Ebene (Dekanat/Diözesanebene) aufzusteigen</w:t>
      </w:r>
      <w:r>
        <w:rPr>
          <w:rFonts w:ascii="Arial" w:eastAsia="Times New Roman" w:hAnsi="Arial" w:cs="Arial"/>
          <w:color w:val="222222"/>
          <w:lang w:val="de-DE" w:eastAsia="de-DE"/>
        </w:rPr>
        <w:t xml:space="preserve"> und dort um die Ehre der Pfarre/des </w:t>
      </w:r>
      <w:proofErr w:type="spellStart"/>
      <w:r>
        <w:rPr>
          <w:rFonts w:ascii="Arial" w:eastAsia="Times New Roman" w:hAnsi="Arial" w:cs="Arial"/>
          <w:color w:val="222222"/>
          <w:lang w:val="de-DE" w:eastAsia="de-DE"/>
        </w:rPr>
        <w:t>Dekanates</w:t>
      </w:r>
      <w:proofErr w:type="spellEnd"/>
      <w:r>
        <w:rPr>
          <w:rFonts w:ascii="Arial" w:eastAsia="Times New Roman" w:hAnsi="Arial" w:cs="Arial"/>
          <w:color w:val="222222"/>
          <w:lang w:val="de-DE" w:eastAsia="de-DE"/>
        </w:rPr>
        <w:t xml:space="preserve"> weiterzuspielen.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Die ersten drei Gewinner der Diözesanebene überreichen den </w:t>
      </w:r>
      <w:r>
        <w:rPr>
          <w:rFonts w:ascii="Arial" w:eastAsia="Times New Roman" w:hAnsi="Arial" w:cs="Arial"/>
          <w:color w:val="222222"/>
          <w:lang w:val="de-DE" w:eastAsia="de-DE"/>
        </w:rPr>
        <w:t xml:space="preserve">Scheck an Bischof Manfred und 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 xml:space="preserve">LH </w:t>
      </w:r>
      <w:r>
        <w:rPr>
          <w:rFonts w:ascii="Arial" w:eastAsia="Times New Roman" w:hAnsi="Arial" w:cs="Arial"/>
          <w:color w:val="222222"/>
          <w:lang w:val="de-DE" w:eastAsia="de-DE"/>
        </w:rPr>
        <w:t xml:space="preserve">a.D. Dr. Josef </w:t>
      </w:r>
      <w:r w:rsidRPr="0065470C">
        <w:rPr>
          <w:rFonts w:ascii="Arial" w:eastAsia="Times New Roman" w:hAnsi="Arial" w:cs="Arial"/>
          <w:color w:val="222222"/>
          <w:lang w:val="de-DE" w:eastAsia="de-DE"/>
        </w:rPr>
        <w:t>Pühringer</w:t>
      </w:r>
      <w:r>
        <w:rPr>
          <w:rFonts w:ascii="Arial" w:eastAsia="Times New Roman" w:hAnsi="Arial" w:cs="Arial"/>
          <w:color w:val="222222"/>
          <w:lang w:val="de-DE" w:eastAsia="de-DE"/>
        </w:rPr>
        <w:t>.</w:t>
      </w:r>
    </w:p>
    <w:p w:rsidR="00DE304F" w:rsidRPr="0065470C" w:rsidRDefault="00DE304F" w:rsidP="00DE304F">
      <w:pPr>
        <w:spacing w:after="0" w:line="300" w:lineRule="atLeast"/>
        <w:rPr>
          <w:rFonts w:ascii="Arial" w:eastAsia="Times New Roman" w:hAnsi="Arial" w:cs="Arial"/>
          <w:color w:val="222222"/>
          <w:lang w:val="de-DE" w:eastAsia="de-DE"/>
        </w:rPr>
      </w:pPr>
    </w:p>
    <w:p w:rsidR="00DE304F" w:rsidRPr="00CA4CB0" w:rsidRDefault="00DE304F" w:rsidP="00DE304F">
      <w:pPr>
        <w:shd w:val="clear" w:color="auto" w:fill="FFFFFF"/>
        <w:spacing w:after="0" w:line="240" w:lineRule="auto"/>
        <w:rPr>
          <w:rFonts w:ascii="Arial" w:hAnsi="Arial" w:cs="Arial"/>
          <w:lang w:val="de-DE" w:eastAsia="de-DE"/>
        </w:rPr>
      </w:pPr>
    </w:p>
    <w:p w:rsidR="004F17B5" w:rsidRDefault="00DE304F" w:rsidP="00DE304F">
      <w:pPr>
        <w:pStyle w:val="berschrift1"/>
        <w:jc w:val="center"/>
      </w:pPr>
      <w:r>
        <w:t>Wir wünschen gutes Gelingen bei der Durchführung!</w:t>
      </w:r>
      <w:bookmarkStart w:id="0" w:name="_GoBack"/>
      <w:bookmarkEnd w:id="0"/>
    </w:p>
    <w:p w:rsidR="00DE304F" w:rsidRDefault="00DE304F" w:rsidP="00DE304F"/>
    <w:p w:rsidR="00DE304F" w:rsidRDefault="00DE304F" w:rsidP="00DE304F"/>
    <w:p w:rsidR="00DE304F" w:rsidRPr="00DE304F" w:rsidRDefault="00DE304F" w:rsidP="00DE304F">
      <w:r>
        <w:t xml:space="preserve">Fragen zum Regelwerk beantwortet Peter Pimann, </w:t>
      </w:r>
      <w:hyperlink r:id="rId8" w:history="1">
        <w:r w:rsidRPr="00DA293D">
          <w:rPr>
            <w:rStyle w:val="Hyperlink"/>
          </w:rPr>
          <w:t>peter.pimann@dioezese-linz.at</w:t>
        </w:r>
      </w:hyperlink>
      <w:r>
        <w:t xml:space="preserve">, 0732 7610 3461 </w:t>
      </w:r>
    </w:p>
    <w:sectPr w:rsidR="00DE304F" w:rsidRPr="00DE304F">
      <w:headerReference w:type="default" r:id="rId9"/>
      <w:footerReference w:type="default" r:id="rId10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304F" w:rsidRDefault="00DE304F" w:rsidP="00D07884">
      <w:pPr>
        <w:spacing w:after="0" w:line="240" w:lineRule="auto"/>
      </w:pPr>
      <w:r>
        <w:separator/>
      </w:r>
    </w:p>
  </w:endnote>
  <w:endnote w:type="continuationSeparator" w:id="0">
    <w:p w:rsidR="00DE304F" w:rsidRDefault="00DE304F" w:rsidP="00D078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E6527" w:rsidRPr="00AE6527" w:rsidRDefault="00AE6527" w:rsidP="00AE6527">
    <w:pPr>
      <w:pStyle w:val="AbsenderimKuvertfenster"/>
      <w:rPr>
        <w:sz w:val="18"/>
        <w:szCs w:val="18"/>
      </w:rPr>
    </w:pPr>
    <w:r w:rsidRPr="00AE6527">
      <w:rPr>
        <w:noProof/>
        <w:sz w:val="18"/>
        <w:szCs w:val="18"/>
        <w:lang w:eastAsia="de-DE" w:bidi="ar-SA"/>
      </w:rPr>
      <w:drawing>
        <wp:anchor distT="0" distB="0" distL="89535" distR="89535" simplePos="0" relativeHeight="251659264" behindDoc="1" locked="0" layoutInCell="1" allowOverlap="1" wp14:anchorId="2457DF6C" wp14:editId="5A2304BB">
          <wp:simplePos x="0" y="0"/>
          <wp:positionH relativeFrom="column">
            <wp:posOffset>-638175</wp:posOffset>
          </wp:positionH>
          <wp:positionV relativeFrom="paragraph">
            <wp:posOffset>-131445</wp:posOffset>
          </wp:positionV>
          <wp:extent cx="553977" cy="360000"/>
          <wp:effectExtent l="0" t="0" r="0" b="2540"/>
          <wp:wrapTight wrapText="largest">
            <wp:wrapPolygon edited="0">
              <wp:start x="0" y="0"/>
              <wp:lineTo x="0" y="20608"/>
              <wp:lineTo x="20807" y="20608"/>
              <wp:lineTo x="20807" y="0"/>
              <wp:lineTo x="0" y="0"/>
            </wp:wrapPolygon>
          </wp:wrapTight>
          <wp:docPr id="6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3977" cy="360000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E6527">
      <w:rPr>
        <w:b/>
        <w:sz w:val="18"/>
        <w:szCs w:val="18"/>
      </w:rPr>
      <w:t>Katholische Männerbewegung Linz,</w:t>
    </w:r>
    <w:r w:rsidRPr="00AE6527">
      <w:rPr>
        <w:sz w:val="18"/>
        <w:szCs w:val="18"/>
      </w:rPr>
      <w:t xml:space="preserve"> 0732/7610-3461, </w:t>
    </w:r>
    <w:hyperlink r:id="rId2" w:history="1">
      <w:r w:rsidRPr="00AE6527">
        <w:rPr>
          <w:rStyle w:val="Hyperlink"/>
          <w:color w:val="auto"/>
          <w:sz w:val="18"/>
          <w:szCs w:val="18"/>
          <w:u w:val="none"/>
        </w:rPr>
        <w:t>kmb@dioezese-linz.at</w:t>
      </w:r>
    </w:hyperlink>
    <w:r w:rsidRPr="00AE6527">
      <w:rPr>
        <w:sz w:val="18"/>
        <w:szCs w:val="18"/>
      </w:rPr>
      <w:t xml:space="preserve">, </w:t>
    </w:r>
    <w:hyperlink r:id="rId3" w:history="1">
      <w:r w:rsidRPr="00AE6527">
        <w:rPr>
          <w:rStyle w:val="Hyperlink"/>
          <w:color w:val="auto"/>
          <w:sz w:val="18"/>
          <w:szCs w:val="18"/>
          <w:u w:val="none"/>
        </w:rPr>
        <w:t>http://kmb.dioezese-linz.at</w:t>
      </w:r>
    </w:hyperlink>
    <w:r w:rsidRPr="00AE6527">
      <w:rPr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304F" w:rsidRDefault="00DE304F" w:rsidP="00D07884">
      <w:pPr>
        <w:spacing w:after="0" w:line="240" w:lineRule="auto"/>
      </w:pPr>
      <w:r>
        <w:separator/>
      </w:r>
    </w:p>
  </w:footnote>
  <w:footnote w:type="continuationSeparator" w:id="0">
    <w:p w:rsidR="00DE304F" w:rsidRDefault="00DE304F" w:rsidP="00D0788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7884" w:rsidRPr="008A1BE5" w:rsidRDefault="00DE304F" w:rsidP="00082B6C">
    <w:pPr>
      <w:pStyle w:val="Kopfzeile"/>
      <w:pBdr>
        <w:bottom w:val="dotted" w:sz="2" w:space="1" w:color="auto"/>
      </w:pBdr>
      <w:rPr>
        <w:color w:val="A6A6A6" w:themeColor="background1" w:themeShade="A6"/>
      </w:rPr>
    </w:pPr>
    <w:r>
      <w:rPr>
        <w:color w:val="A6A6A6" w:themeColor="background1" w:themeShade="A6"/>
      </w:rPr>
      <w:t>Bausteinschnapsen „Pro Mariendom“</w:t>
    </w:r>
    <w:r w:rsidR="0028083D">
      <w:rPr>
        <w:color w:val="A6A6A6" w:themeColor="background1" w:themeShade="A6"/>
      </w:rPr>
      <w:tab/>
    </w:r>
    <w:r w:rsidR="0028083D">
      <w:rPr>
        <w:color w:val="A6A6A6" w:themeColor="background1" w:themeShade="A6"/>
      </w:rPr>
      <w:tab/>
    </w:r>
    <w:r w:rsidR="001A34CD" w:rsidRPr="001A34CD">
      <w:rPr>
        <w:color w:val="A6A6A6" w:themeColor="background1" w:themeShade="A6"/>
        <w:lang w:val="de-DE"/>
      </w:rPr>
      <w:t xml:space="preserve">Seite </w:t>
    </w:r>
    <w:r w:rsidR="001A34CD" w:rsidRPr="001A34CD">
      <w:rPr>
        <w:b/>
        <w:bCs/>
        <w:color w:val="A6A6A6" w:themeColor="background1" w:themeShade="A6"/>
      </w:rPr>
      <w:fldChar w:fldCharType="begin"/>
    </w:r>
    <w:r w:rsidR="001A34CD" w:rsidRPr="001A34CD">
      <w:rPr>
        <w:b/>
        <w:bCs/>
        <w:color w:val="A6A6A6" w:themeColor="background1" w:themeShade="A6"/>
      </w:rPr>
      <w:instrText>PAGE  \* Arabic  \* MERGEFORMAT</w:instrText>
    </w:r>
    <w:r w:rsidR="001A34CD" w:rsidRPr="001A34CD">
      <w:rPr>
        <w:b/>
        <w:bCs/>
        <w:color w:val="A6A6A6" w:themeColor="background1" w:themeShade="A6"/>
      </w:rPr>
      <w:fldChar w:fldCharType="separate"/>
    </w:r>
    <w:r w:rsidRPr="00DE304F">
      <w:rPr>
        <w:b/>
        <w:bCs/>
        <w:noProof/>
        <w:color w:val="A6A6A6" w:themeColor="background1" w:themeShade="A6"/>
        <w:lang w:val="de-DE"/>
      </w:rPr>
      <w:t>2</w:t>
    </w:r>
    <w:r w:rsidR="001A34CD" w:rsidRPr="001A34CD">
      <w:rPr>
        <w:b/>
        <w:bCs/>
        <w:color w:val="A6A6A6" w:themeColor="background1" w:themeShade="A6"/>
      </w:rPr>
      <w:fldChar w:fldCharType="end"/>
    </w:r>
    <w:r w:rsidR="001A34CD" w:rsidRPr="001A34CD">
      <w:rPr>
        <w:color w:val="A6A6A6" w:themeColor="background1" w:themeShade="A6"/>
        <w:lang w:val="de-DE"/>
      </w:rPr>
      <w:t xml:space="preserve"> von </w:t>
    </w:r>
    <w:r w:rsidR="001A34CD" w:rsidRPr="001A34CD">
      <w:rPr>
        <w:b/>
        <w:bCs/>
        <w:color w:val="A6A6A6" w:themeColor="background1" w:themeShade="A6"/>
      </w:rPr>
      <w:fldChar w:fldCharType="begin"/>
    </w:r>
    <w:r w:rsidR="001A34CD" w:rsidRPr="001A34CD">
      <w:rPr>
        <w:b/>
        <w:bCs/>
        <w:color w:val="A6A6A6" w:themeColor="background1" w:themeShade="A6"/>
      </w:rPr>
      <w:instrText>NUMPAGES  \* Arabic  \* MERGEFORMAT</w:instrText>
    </w:r>
    <w:r w:rsidR="001A34CD" w:rsidRPr="001A34CD">
      <w:rPr>
        <w:b/>
        <w:bCs/>
        <w:color w:val="A6A6A6" w:themeColor="background1" w:themeShade="A6"/>
      </w:rPr>
      <w:fldChar w:fldCharType="separate"/>
    </w:r>
    <w:r w:rsidRPr="00DE304F">
      <w:rPr>
        <w:b/>
        <w:bCs/>
        <w:noProof/>
        <w:color w:val="A6A6A6" w:themeColor="background1" w:themeShade="A6"/>
        <w:lang w:val="de-DE"/>
      </w:rPr>
      <w:t>2</w:t>
    </w:r>
    <w:r w:rsidR="001A34CD" w:rsidRPr="001A34CD">
      <w:rPr>
        <w:b/>
        <w:bCs/>
        <w:color w:val="A6A6A6" w:themeColor="background1" w:themeShade="A6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3482F"/>
    <w:multiLevelType w:val="hybridMultilevel"/>
    <w:tmpl w:val="1A1AD220"/>
    <w:lvl w:ilvl="0" w:tplc="0407000F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C1755E9"/>
    <w:multiLevelType w:val="hybridMultilevel"/>
    <w:tmpl w:val="3590361E"/>
    <w:lvl w:ilvl="0" w:tplc="4DA8987A"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2EA013CA">
      <w:start w:val="21"/>
      <w:numFmt w:val="bullet"/>
      <w:lvlText w:val="-"/>
      <w:lvlJc w:val="left"/>
      <w:pPr>
        <w:ind w:left="1425" w:hanging="705"/>
      </w:pPr>
      <w:rPr>
        <w:rFonts w:ascii="Arial" w:eastAsiaTheme="minorHAnsi" w:hAnsi="Arial" w:cs="Arial"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30381EA2"/>
    <w:multiLevelType w:val="hybridMultilevel"/>
    <w:tmpl w:val="3FFADA8E"/>
    <w:lvl w:ilvl="0" w:tplc="C10C9C2E">
      <w:start w:val="1"/>
      <w:numFmt w:val="decimalZero"/>
      <w:lvlText w:val="%1)"/>
      <w:lvlJc w:val="left"/>
      <w:pPr>
        <w:ind w:left="420" w:hanging="42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304F"/>
    <w:rsid w:val="00082B6C"/>
    <w:rsid w:val="00156140"/>
    <w:rsid w:val="001A34CD"/>
    <w:rsid w:val="0028083D"/>
    <w:rsid w:val="002E2435"/>
    <w:rsid w:val="004E6E75"/>
    <w:rsid w:val="004F17B5"/>
    <w:rsid w:val="005065DC"/>
    <w:rsid w:val="005433FE"/>
    <w:rsid w:val="0085066F"/>
    <w:rsid w:val="008A1BE5"/>
    <w:rsid w:val="00A56EE7"/>
    <w:rsid w:val="00AD4023"/>
    <w:rsid w:val="00AE6527"/>
    <w:rsid w:val="00B54C0A"/>
    <w:rsid w:val="00CF7662"/>
    <w:rsid w:val="00D07884"/>
    <w:rsid w:val="00D273D8"/>
    <w:rsid w:val="00DE30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B0A69"/>
  <w15:chartTrackingRefBased/>
  <w15:docId w15:val="{FDDE59C0-56B3-4101-AE67-25CBBE577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DE304F"/>
    <w:rPr>
      <w:lang w:val="de-AT"/>
    </w:rPr>
  </w:style>
  <w:style w:type="paragraph" w:styleId="berschrift1">
    <w:name w:val="heading 1"/>
    <w:basedOn w:val="Standard"/>
    <w:link w:val="berschrift1Zchn"/>
    <w:uiPriority w:val="9"/>
    <w:qFormat/>
    <w:rsid w:val="00D07884"/>
    <w:pPr>
      <w:spacing w:before="100" w:beforeAutospacing="1" w:after="100" w:afterAutospacing="1" w:line="240" w:lineRule="auto"/>
      <w:outlineLvl w:val="0"/>
    </w:pPr>
    <w:rPr>
      <w:rFonts w:ascii="Arial" w:eastAsia="Times New Roman" w:hAnsi="Arial" w:cs="Times New Roman"/>
      <w:b/>
      <w:bCs/>
      <w:kern w:val="36"/>
      <w:sz w:val="32"/>
      <w:szCs w:val="48"/>
      <w:lang w:eastAsia="de-AT"/>
    </w:rPr>
  </w:style>
  <w:style w:type="paragraph" w:styleId="berschrift2">
    <w:name w:val="heading 2"/>
    <w:basedOn w:val="Standard"/>
    <w:link w:val="berschrift2Zchn"/>
    <w:uiPriority w:val="9"/>
    <w:unhideWhenUsed/>
    <w:qFormat/>
    <w:rsid w:val="00D07884"/>
    <w:pPr>
      <w:keepNext/>
      <w:keepLines/>
      <w:spacing w:before="40" w:after="0"/>
      <w:outlineLvl w:val="1"/>
    </w:pPr>
    <w:rPr>
      <w:rFonts w:ascii="Arial" w:eastAsiaTheme="majorEastAsia" w:hAnsi="Arial" w:cstheme="majorBidi"/>
      <w:sz w:val="28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D07884"/>
    <w:rPr>
      <w:rFonts w:ascii="Arial" w:eastAsia="Times New Roman" w:hAnsi="Arial" w:cs="Times New Roman"/>
      <w:b/>
      <w:bCs/>
      <w:kern w:val="36"/>
      <w:sz w:val="32"/>
      <w:szCs w:val="48"/>
      <w:lang w:val="de-AT" w:eastAsia="de-AT"/>
    </w:rPr>
  </w:style>
  <w:style w:type="character" w:customStyle="1" w:styleId="berschrift2Zchn">
    <w:name w:val="Überschrift 2 Zchn"/>
    <w:basedOn w:val="Absatz-Standardschriftart"/>
    <w:link w:val="berschrift2"/>
    <w:uiPriority w:val="9"/>
    <w:rsid w:val="00D07884"/>
    <w:rPr>
      <w:rFonts w:ascii="Arial" w:eastAsiaTheme="majorEastAsia" w:hAnsi="Arial" w:cstheme="majorBidi"/>
      <w:sz w:val="28"/>
      <w:szCs w:val="26"/>
      <w:lang w:val="de-AT"/>
    </w:rPr>
  </w:style>
  <w:style w:type="paragraph" w:styleId="Listenabsatz">
    <w:name w:val="List Paragraph"/>
    <w:basedOn w:val="Standard"/>
    <w:uiPriority w:val="34"/>
    <w:qFormat/>
    <w:rsid w:val="00D07884"/>
    <w:pPr>
      <w:ind w:left="720"/>
      <w:contextualSpacing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D07884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D07884"/>
    <w:rPr>
      <w:sz w:val="20"/>
      <w:szCs w:val="20"/>
      <w:lang w:val="de-AT"/>
    </w:rPr>
  </w:style>
  <w:style w:type="character" w:styleId="Funotenzeichen">
    <w:name w:val="footnote reference"/>
    <w:basedOn w:val="Absatz-Standardschriftart"/>
    <w:uiPriority w:val="99"/>
    <w:semiHidden/>
    <w:unhideWhenUsed/>
    <w:rsid w:val="00D07884"/>
    <w:rPr>
      <w:vertAlign w:val="superscript"/>
    </w:rPr>
  </w:style>
  <w:style w:type="character" w:styleId="IntensiverVerweis">
    <w:name w:val="Intense Reference"/>
    <w:basedOn w:val="IntensiveHervorhebung"/>
    <w:uiPriority w:val="32"/>
    <w:qFormat/>
    <w:rsid w:val="00D07884"/>
    <w:rPr>
      <w:rFonts w:ascii="Arial" w:hAnsi="Arial"/>
      <w:b/>
      <w:bCs/>
      <w:i w:val="0"/>
      <w:iCs/>
      <w:smallCaps/>
      <w:color w:val="auto"/>
      <w:spacing w:val="5"/>
      <w:sz w:val="36"/>
    </w:rPr>
  </w:style>
  <w:style w:type="character" w:styleId="IntensiveHervorhebung">
    <w:name w:val="Intense Emphasis"/>
    <w:basedOn w:val="Absatz-Standardschriftart"/>
    <w:uiPriority w:val="21"/>
    <w:qFormat/>
    <w:rsid w:val="00D07884"/>
    <w:rPr>
      <w:i/>
      <w:iCs/>
      <w:color w:val="5B9BD5" w:themeColor="accent1"/>
    </w:rPr>
  </w:style>
  <w:style w:type="paragraph" w:styleId="Kopfzeile">
    <w:name w:val="header"/>
    <w:basedOn w:val="Standard"/>
    <w:link w:val="KopfzeileZchn"/>
    <w:uiPriority w:val="99"/>
    <w:unhideWhenUsed/>
    <w:rsid w:val="00D078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07884"/>
    <w:rPr>
      <w:lang w:val="de-AT"/>
    </w:rPr>
  </w:style>
  <w:style w:type="paragraph" w:styleId="Fuzeile">
    <w:name w:val="footer"/>
    <w:basedOn w:val="Standard"/>
    <w:link w:val="FuzeileZchn"/>
    <w:uiPriority w:val="99"/>
    <w:unhideWhenUsed/>
    <w:rsid w:val="00D0788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07884"/>
    <w:rPr>
      <w:lang w:val="de-AT"/>
    </w:rPr>
  </w:style>
  <w:style w:type="paragraph" w:styleId="Titel">
    <w:name w:val="Title"/>
    <w:basedOn w:val="Standard"/>
    <w:next w:val="Standard"/>
    <w:link w:val="TitelZchn"/>
    <w:uiPriority w:val="10"/>
    <w:qFormat/>
    <w:rsid w:val="00D0788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D07884"/>
    <w:rPr>
      <w:rFonts w:asciiTheme="majorHAnsi" w:eastAsiaTheme="majorEastAsia" w:hAnsiTheme="majorHAnsi" w:cstheme="majorBidi"/>
      <w:spacing w:val="-10"/>
      <w:kern w:val="28"/>
      <w:sz w:val="56"/>
      <w:szCs w:val="56"/>
      <w:lang w:val="de-AT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D0788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D07884"/>
    <w:rPr>
      <w:rFonts w:eastAsiaTheme="minorEastAsia"/>
      <w:color w:val="5A5A5A" w:themeColor="text1" w:themeTint="A5"/>
      <w:spacing w:val="15"/>
      <w:lang w:val="de-AT"/>
    </w:rPr>
  </w:style>
  <w:style w:type="character" w:styleId="Hyperlink">
    <w:name w:val="Hyperlink"/>
    <w:basedOn w:val="Absatz-Standardschriftart"/>
    <w:uiPriority w:val="99"/>
    <w:unhideWhenUsed/>
    <w:rsid w:val="00AE6527"/>
    <w:rPr>
      <w:color w:val="0563C1" w:themeColor="hyperlink"/>
      <w:u w:val="single"/>
    </w:rPr>
  </w:style>
  <w:style w:type="paragraph" w:customStyle="1" w:styleId="AbsenderimKuvertfenster">
    <w:name w:val="Absender im Kuvertfenster"/>
    <w:basedOn w:val="Standard"/>
    <w:rsid w:val="00AE6527"/>
    <w:pPr>
      <w:widowControl w:val="0"/>
      <w:suppressAutoHyphens/>
      <w:overflowPunct w:val="0"/>
      <w:autoSpaceDE w:val="0"/>
      <w:spacing w:after="0" w:line="240" w:lineRule="auto"/>
      <w:textAlignment w:val="baseline"/>
    </w:pPr>
    <w:rPr>
      <w:rFonts w:ascii="Arial" w:eastAsia="Arial Unicode MS" w:hAnsi="Arial" w:cs="Arial"/>
      <w:kern w:val="1"/>
      <w:sz w:val="24"/>
      <w:szCs w:val="20"/>
      <w:lang w:val="de-DE" w:eastAsia="zh-CN" w:bidi="hi-IN"/>
    </w:rPr>
  </w:style>
  <w:style w:type="paragraph" w:styleId="StandardWeb">
    <w:name w:val="Normal (Web)"/>
    <w:basedOn w:val="Standard"/>
    <w:uiPriority w:val="99"/>
    <w:semiHidden/>
    <w:unhideWhenUsed/>
    <w:rsid w:val="002808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e-DE"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F17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F17B5"/>
    <w:rPr>
      <w:rFonts w:ascii="Segoe UI" w:hAnsi="Segoe UI" w:cs="Segoe UI"/>
      <w:sz w:val="18"/>
      <w:szCs w:val="18"/>
      <w:lang w:val="de-A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3584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eter.pimann@dioezese-linz.a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kmb.dioezese-linz.at" TargetMode="External"/><Relationship Id="rId2" Type="http://schemas.openxmlformats.org/officeDocument/2006/relationships/hyperlink" Target="mailto:kmb@dioezese-linz.at" TargetMode="External"/><Relationship Id="rId1" Type="http://schemas.openxmlformats.org/officeDocument/2006/relationships/image" Target="media/image1.w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olfgang.schoenleitn\Documents\Benutzerdefinierte%20Office-Vorlagen\Vorlage%20KMB%20Dokumente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AF2AF9-F6B7-43FF-BE26-89A8089732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Vorlage KMB Dokumente.dotx</Template>
  <TotalTime>0</TotalTime>
  <Pages>2</Pages>
  <Words>525</Words>
  <Characters>3312</Characters>
  <Application>Microsoft Office Word</Application>
  <DocSecurity>0</DocSecurity>
  <Lines>27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Dioezese Linz</Company>
  <LinksUpToDate>false</LinksUpToDate>
  <CharactersWithSpaces>3830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Wolfgang Schönleitner</dc:creator>
  <cp:keywords/>
  <dc:description/>
  <cp:lastModifiedBy>Wolfgang Schönleitner</cp:lastModifiedBy>
  <cp:revision>1</cp:revision>
  <cp:lastPrinted>2015-10-05T12:19:00Z</cp:lastPrinted>
  <dcterms:created xsi:type="dcterms:W3CDTF">2018-07-26T11:54:00Z</dcterms:created>
  <dcterms:modified xsi:type="dcterms:W3CDTF">2018-07-26T12:03:00Z</dcterms:modified>
</cp:coreProperties>
</file>