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header1.xml" ContentType="application/vnd.openxmlformats-officedocument.wordprocessingml.header+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25"/>
          <w:b/>
          <w:sz w:val="25"/>
          <w:b/>
          <w:szCs w:val="28"/>
          <w:bCs/>
        </w:rPr>
      </w:pPr>
      <w:r>
        <w:rPr>
          <w:b/>
          <w:bCs/>
          <w:sz w:val="28"/>
          <w:szCs w:val="28"/>
        </w:rPr>
        <w:t xml:space="preserve"> </w:t>
      </w:r>
      <w:r>
        <w:rPr>
          <w:b/>
          <w:bCs/>
          <w:sz w:val="28"/>
          <w:szCs w:val="28"/>
        </w:rPr>
        <w:t>Dein Wort auf dem Weg – Impulsgedanken:</w:t>
      </w:r>
      <w:r/>
    </w:p>
    <w:p>
      <w:pPr>
        <w:pStyle w:val="Normal"/>
        <w:rPr>
          <w:sz w:val="25"/>
          <w:b/>
          <w:sz w:val="25"/>
          <w:b/>
          <w:szCs w:val="28"/>
          <w:bCs/>
          <w:rFonts w:ascii="Liberation Serif" w:hAnsi="Liberation Serif" w:eastAsia="SimSun" w:cs="Mangal"/>
          <w:color w:val="00000A"/>
          <w:lang w:val="de-AT" w:eastAsia="zh-CN" w:bidi="hi-IN"/>
        </w:rPr>
      </w:pPr>
      <w:r>
        <w:rPr>
          <w:rFonts w:eastAsia="SimSun" w:cs="Mangal"/>
          <w:b/>
          <w:bCs/>
          <w:color w:val="00000A"/>
          <w:sz w:val="25"/>
          <w:szCs w:val="28"/>
          <w:lang w:val="de-AT" w:eastAsia="zh-CN" w:bidi="hi-IN"/>
        </w:rPr>
      </w:r>
      <w:r/>
    </w:p>
    <w:p>
      <w:pPr>
        <w:pStyle w:val="Normal"/>
      </w:pPr>
      <w:r>
        <w:rPr>
          <w:b w:val="false"/>
          <w:bCs w:val="false"/>
          <w:sz w:val="28"/>
          <w:szCs w:val="28"/>
        </w:rPr>
        <w:t xml:space="preserve">Die verschiedenen Berichte von Erlebnissen auf der Pilgerfahrt enthalten immer wieder Hinweise, wie den Wanderern die Natur mit ihrer Pracht, ihren verschiedenen Formen und Erscheinungen, den Pflanzen und Gerüchen und nicht zuletzt mit den Lebewesen, die sie beherbergt, </w:t>
      </w:r>
      <w:r>
        <w:rPr>
          <w:b w:val="false"/>
          <w:bCs w:val="false"/>
          <w:sz w:val="28"/>
          <w:szCs w:val="28"/>
        </w:rPr>
        <w:t>den</w:t>
      </w:r>
      <w:r>
        <w:rPr>
          <w:b w:val="false"/>
          <w:bCs w:val="false"/>
          <w:sz w:val="28"/>
          <w:szCs w:val="28"/>
        </w:rPr>
        <w:t xml:space="preserve"> kleinen und großen, entgegenkommt. Angeregt von diesen Berichten möchte ich darauf verweisen, dass die alte Welt und natürlich auch die Bibel die Natur nicht nur von Göttern bzw. Gott durchwaltet empfunden haben und behutsam mit ihr umgegangen sind, sondern auch umgekehrt die Natur und ihre Erscheinungen als Momente der Offenbarung </w:t>
      </w:r>
      <w:r>
        <w:rPr>
          <w:b w:val="false"/>
          <w:bCs w:val="false"/>
          <w:sz w:val="28"/>
          <w:szCs w:val="28"/>
        </w:rPr>
        <w:t>an</w:t>
      </w:r>
      <w:r>
        <w:rPr>
          <w:b w:val="false"/>
          <w:bCs w:val="false"/>
          <w:sz w:val="28"/>
          <w:szCs w:val="28"/>
        </w:rPr>
        <w:t xml:space="preserve">gesehen haben. </w:t>
      </w:r>
      <w:r/>
    </w:p>
    <w:p>
      <w:pPr>
        <w:pStyle w:val="Normal"/>
        <w:rPr>
          <w:sz w:val="28"/>
          <w:b w:val="false"/>
          <w:sz w:val="28"/>
          <w:b w:val="false"/>
          <w:szCs w:val="28"/>
          <w:bCs w:val="false"/>
          <w:rFonts w:ascii="Liberation Serif" w:hAnsi="Liberation Serif" w:eastAsia="SimSun" w:cs="Mangal"/>
          <w:color w:val="00000A"/>
          <w:lang w:val="de-AT" w:eastAsia="zh-CN" w:bidi="hi-IN"/>
        </w:rPr>
      </w:pPr>
      <w:r>
        <w:rPr>
          <w:rFonts w:eastAsia="SimSun" w:cs="Mangal"/>
          <w:b w:val="false"/>
          <w:bCs w:val="false"/>
          <w:color w:val="00000A"/>
          <w:sz w:val="28"/>
          <w:szCs w:val="28"/>
          <w:lang w:val="de-AT" w:eastAsia="zh-CN" w:bidi="hi-IN"/>
        </w:rPr>
      </w:r>
      <w:r/>
    </w:p>
    <w:p>
      <w:pPr>
        <w:pStyle w:val="Normal"/>
      </w:pPr>
      <w:r>
        <w:rPr>
          <w:b w:val="false"/>
          <w:bCs w:val="false"/>
          <w:sz w:val="28"/>
          <w:szCs w:val="28"/>
        </w:rPr>
        <w:t xml:space="preserve">Tatsächlich sind in der Bibel einzelne Offenbarungen Gottes von eindrücklichen Naturerreignissen begleitet, womit nicht </w:t>
      </w:r>
      <w:r>
        <w:rPr>
          <w:b w:val="false"/>
          <w:bCs w:val="false"/>
          <w:sz w:val="28"/>
          <w:szCs w:val="28"/>
        </w:rPr>
        <w:t>nur</w:t>
      </w:r>
      <w:r>
        <w:rPr>
          <w:b w:val="false"/>
          <w:bCs w:val="false"/>
          <w:sz w:val="28"/>
          <w:szCs w:val="28"/>
        </w:rPr>
        <w:t xml:space="preserve"> die Besonderheit des Ereignisses, </w:t>
      </w:r>
      <w:r>
        <w:rPr>
          <w:b w:val="false"/>
          <w:bCs w:val="false"/>
          <w:sz w:val="28"/>
          <w:szCs w:val="28"/>
        </w:rPr>
        <w:t>sondern vor allem</w:t>
      </w:r>
      <w:r>
        <w:rPr>
          <w:b w:val="false"/>
          <w:bCs w:val="false"/>
          <w:sz w:val="28"/>
          <w:szCs w:val="28"/>
        </w:rPr>
        <w:t xml:space="preserve"> </w:t>
      </w:r>
      <w:r>
        <w:rPr>
          <w:b w:val="false"/>
          <w:bCs w:val="false"/>
          <w:sz w:val="28"/>
          <w:szCs w:val="28"/>
        </w:rPr>
        <w:t xml:space="preserve">die Größe </w:t>
      </w:r>
      <w:r>
        <w:rPr>
          <w:b w:val="false"/>
          <w:bCs w:val="false"/>
          <w:sz w:val="28"/>
          <w:szCs w:val="28"/>
        </w:rPr>
        <w:t xml:space="preserve">und Macht der Gottheit unterstrichen werden soll. </w:t>
      </w:r>
      <w:r/>
    </w:p>
    <w:p>
      <w:pPr>
        <w:pStyle w:val="Normal"/>
      </w:pPr>
      <w:r>
        <w:rPr>
          <w:b w:val="false"/>
          <w:bCs w:val="false"/>
          <w:sz w:val="28"/>
          <w:szCs w:val="28"/>
        </w:rPr>
        <w:t xml:space="preserve">Ganz besonders gilt das für die Erscheinung Gottes am Sinai, wo das </w:t>
      </w:r>
      <w:r>
        <w:rPr>
          <w:b w:val="false"/>
          <w:bCs w:val="false"/>
          <w:sz w:val="28"/>
          <w:szCs w:val="28"/>
        </w:rPr>
        <w:t xml:space="preserve">gewaltige </w:t>
      </w:r>
      <w:r>
        <w:rPr>
          <w:b w:val="false"/>
          <w:bCs w:val="false"/>
          <w:sz w:val="28"/>
          <w:szCs w:val="28"/>
        </w:rPr>
        <w:t xml:space="preserve">Geschehen ausdrücklich </w:t>
      </w:r>
      <w:r>
        <w:rPr>
          <w:b w:val="false"/>
          <w:bCs w:val="false"/>
          <w:sz w:val="28"/>
          <w:szCs w:val="28"/>
        </w:rPr>
        <w:t xml:space="preserve">als </w:t>
      </w:r>
      <w:r>
        <w:rPr>
          <w:b w:val="false"/>
          <w:bCs w:val="false"/>
          <w:sz w:val="28"/>
          <w:szCs w:val="28"/>
        </w:rPr>
        <w:t xml:space="preserve">eine „Prüfung“ </w:t>
      </w:r>
      <w:r>
        <w:rPr>
          <w:b w:val="false"/>
          <w:bCs w:val="false"/>
          <w:sz w:val="28"/>
          <w:szCs w:val="28"/>
        </w:rPr>
        <w:t>(</w:t>
      </w:r>
      <w:r>
        <w:rPr>
          <w:b w:val="false"/>
          <w:bCs w:val="false"/>
          <w:i/>
          <w:iCs/>
          <w:sz w:val="28"/>
          <w:szCs w:val="28"/>
        </w:rPr>
        <w:t>nasah)</w:t>
      </w:r>
      <w:r>
        <w:rPr>
          <w:b w:val="false"/>
          <w:bCs w:val="false"/>
          <w:sz w:val="28"/>
          <w:szCs w:val="28"/>
        </w:rPr>
        <w:t xml:space="preserve"> für Israel </w:t>
      </w:r>
      <w:r>
        <w:rPr>
          <w:b w:val="false"/>
          <w:bCs w:val="false"/>
          <w:sz w:val="28"/>
          <w:szCs w:val="28"/>
        </w:rPr>
        <w:t>bezeichnet wird</w:t>
      </w:r>
      <w:r>
        <w:rPr>
          <w:b w:val="false"/>
          <w:bCs w:val="false"/>
          <w:sz w:val="28"/>
          <w:szCs w:val="28"/>
        </w:rPr>
        <w:t>:</w:t>
      </w:r>
      <w:r/>
    </w:p>
    <w:p>
      <w:pPr>
        <w:pStyle w:val="Normal"/>
      </w:pPr>
      <w:r>
        <w:rPr>
          <w:b w:val="false"/>
          <w:bCs w:val="false"/>
          <w:i/>
          <w:iCs/>
          <w:sz w:val="28"/>
          <w:szCs w:val="28"/>
        </w:rPr>
        <w:t>„</w:t>
      </w:r>
      <w:r>
        <w:rPr>
          <w:b w:val="false"/>
          <w:bCs w:val="false"/>
          <w:i/>
          <w:iCs/>
          <w:sz w:val="28"/>
          <w:szCs w:val="28"/>
        </w:rPr>
        <w:t xml:space="preserve">Das ganze Volk </w:t>
      </w:r>
      <w:r>
        <w:rPr>
          <w:b w:val="false"/>
          <w:bCs w:val="false"/>
          <w:i/>
          <w:iCs/>
          <w:sz w:val="28"/>
          <w:szCs w:val="28"/>
        </w:rPr>
        <w:t xml:space="preserve">sah/ d.h. </w:t>
      </w:r>
      <w:r>
        <w:rPr>
          <w:b w:val="false"/>
          <w:bCs w:val="false"/>
          <w:i/>
          <w:iCs/>
          <w:sz w:val="28"/>
          <w:szCs w:val="28"/>
        </w:rPr>
        <w:t>erlebte die Donner</w:t>
      </w:r>
      <w:r>
        <w:rPr>
          <w:b w:val="false"/>
          <w:bCs w:val="false"/>
          <w:i/>
          <w:iCs/>
          <w:sz w:val="28"/>
          <w:szCs w:val="28"/>
        </w:rPr>
        <w:t>töne</w:t>
      </w:r>
      <w:r>
        <w:rPr>
          <w:b w:val="false"/>
          <w:bCs w:val="false"/>
          <w:i/>
          <w:iCs/>
          <w:sz w:val="28"/>
          <w:szCs w:val="28"/>
        </w:rPr>
        <w:t xml:space="preserve"> </w:t>
      </w:r>
      <w:r>
        <w:rPr>
          <w:b w:val="false"/>
          <w:bCs w:val="false"/>
          <w:i/>
          <w:iCs/>
          <w:sz w:val="28"/>
          <w:szCs w:val="28"/>
        </w:rPr>
        <w:t>(ha-qolot)</w:t>
      </w:r>
      <w:r>
        <w:rPr>
          <w:b w:val="false"/>
          <w:bCs w:val="false"/>
          <w:i/>
          <w:iCs/>
          <w:sz w:val="28"/>
          <w:szCs w:val="28"/>
        </w:rPr>
        <w:t xml:space="preserve"> und die Fakelblitze und d</w:t>
      </w:r>
      <w:r>
        <w:rPr>
          <w:b w:val="false"/>
          <w:bCs w:val="false"/>
          <w:i/>
          <w:iCs/>
          <w:sz w:val="28"/>
          <w:szCs w:val="28"/>
        </w:rPr>
        <w:t>en Ton</w:t>
      </w:r>
      <w:r>
        <w:rPr>
          <w:b w:val="false"/>
          <w:bCs w:val="false"/>
          <w:i/>
          <w:iCs/>
          <w:sz w:val="28"/>
          <w:szCs w:val="28"/>
        </w:rPr>
        <w:t xml:space="preserve"> (qol) des Schofar und den rauchenden Berg. Da bekam das Volk Angst, es zitterte und hielt sich in der Ferne“</w:t>
      </w:r>
      <w:r>
        <w:rPr>
          <w:b w:val="false"/>
          <w:bCs w:val="false"/>
          <w:sz w:val="28"/>
          <w:szCs w:val="28"/>
        </w:rPr>
        <w:t xml:space="preserve"> (Ex 20, 18ff). </w:t>
      </w:r>
      <w:r/>
    </w:p>
    <w:p>
      <w:pPr>
        <w:pStyle w:val="Normal"/>
      </w:pPr>
      <w:r>
        <w:rPr>
          <w:b w:val="false"/>
          <w:bCs w:val="false"/>
          <w:sz w:val="28"/>
          <w:szCs w:val="28"/>
        </w:rPr>
        <w:t>Später erlebt der Prophet Elija eine ähnliche Demonstration der Macht Gottes in den Begleiterscheinungen für die Gottesbegegnung am Berg Horeb: Sturm, Erdbeben, Feuer  und schließlich die gedämpfte Stimme (</w:t>
      </w:r>
      <w:r>
        <w:rPr>
          <w:b w:val="false"/>
          <w:bCs w:val="false"/>
          <w:i/>
          <w:iCs/>
          <w:sz w:val="28"/>
          <w:szCs w:val="28"/>
        </w:rPr>
        <w:t xml:space="preserve">qol demamah) </w:t>
      </w:r>
      <w:r>
        <w:rPr>
          <w:b w:val="false"/>
          <w:bCs w:val="false"/>
          <w:sz w:val="28"/>
          <w:szCs w:val="28"/>
        </w:rPr>
        <w:t xml:space="preserve">(1Kön 19,11-12). </w:t>
      </w:r>
      <w:r/>
    </w:p>
    <w:p>
      <w:pPr>
        <w:pStyle w:val="Normal"/>
        <w:rPr>
          <w:sz w:val="28"/>
          <w:b w:val="false"/>
          <w:sz w:val="28"/>
          <w:b w:val="false"/>
          <w:szCs w:val="28"/>
          <w:bCs w:val="false"/>
        </w:rPr>
      </w:pPr>
      <w:r>
        <w:rPr/>
      </w:r>
      <w:r/>
    </w:p>
    <w:p>
      <w:pPr>
        <w:pStyle w:val="Normal"/>
      </w:pPr>
      <w:r>
        <w:rPr>
          <w:b w:val="false"/>
          <w:bCs w:val="false"/>
          <w:sz w:val="28"/>
          <w:szCs w:val="28"/>
        </w:rPr>
        <w:t xml:space="preserve">Was </w:t>
      </w:r>
      <w:r>
        <w:rPr>
          <w:b w:val="false"/>
          <w:bCs w:val="false"/>
          <w:sz w:val="28"/>
          <w:szCs w:val="28"/>
        </w:rPr>
        <w:t>in diesen Begebenheiten</w:t>
      </w:r>
      <w:r>
        <w:rPr>
          <w:b w:val="false"/>
          <w:bCs w:val="false"/>
          <w:sz w:val="28"/>
          <w:szCs w:val="28"/>
        </w:rPr>
        <w:t xml:space="preserve"> geschieht, klingt nach in den Versen von Ps 29, </w:t>
      </w:r>
      <w:r>
        <w:rPr>
          <w:b w:val="false"/>
          <w:bCs w:val="false"/>
          <w:sz w:val="28"/>
          <w:szCs w:val="28"/>
        </w:rPr>
        <w:t xml:space="preserve">in </w:t>
      </w:r>
      <w:r>
        <w:rPr>
          <w:b w:val="false"/>
          <w:bCs w:val="false"/>
          <w:sz w:val="28"/>
          <w:szCs w:val="28"/>
        </w:rPr>
        <w:t>welche</w:t>
      </w:r>
      <w:r>
        <w:rPr>
          <w:b w:val="false"/>
          <w:bCs w:val="false"/>
          <w:sz w:val="28"/>
          <w:szCs w:val="28"/>
        </w:rPr>
        <w:t>n</w:t>
      </w:r>
      <w:r>
        <w:rPr>
          <w:b w:val="false"/>
          <w:bCs w:val="false"/>
          <w:sz w:val="28"/>
          <w:szCs w:val="28"/>
        </w:rPr>
        <w:t xml:space="preserve"> die Macht der Stimme Gottes verherrlicht </w:t>
      </w:r>
      <w:r>
        <w:rPr>
          <w:b w:val="false"/>
          <w:bCs w:val="false"/>
          <w:sz w:val="28"/>
          <w:szCs w:val="28"/>
        </w:rPr>
        <w:t>wird –</w:t>
      </w:r>
      <w:r>
        <w:rPr>
          <w:b w:val="false"/>
          <w:bCs w:val="false"/>
          <w:sz w:val="28"/>
          <w:szCs w:val="28"/>
        </w:rPr>
        <w:t xml:space="preserve"> jeden Freitag </w:t>
      </w:r>
      <w:r>
        <w:rPr>
          <w:b w:val="false"/>
          <w:bCs w:val="false"/>
          <w:sz w:val="28"/>
          <w:szCs w:val="28"/>
        </w:rPr>
        <w:t xml:space="preserve">ertönt der Psalm </w:t>
      </w:r>
      <w:r>
        <w:rPr>
          <w:b w:val="false"/>
          <w:bCs w:val="false"/>
          <w:sz w:val="28"/>
          <w:szCs w:val="28"/>
        </w:rPr>
        <w:t xml:space="preserve">in der Synagoge: </w:t>
      </w:r>
      <w:r/>
    </w:p>
    <w:p>
      <w:pPr>
        <w:pStyle w:val="Normal"/>
      </w:pPr>
      <w:r>
        <w:rPr>
          <w:b w:val="false"/>
          <w:bCs w:val="false"/>
          <w:i/>
          <w:iCs/>
          <w:sz w:val="28"/>
          <w:szCs w:val="28"/>
        </w:rPr>
        <w:t>„</w:t>
      </w:r>
      <w:r>
        <w:rPr>
          <w:b w:val="false"/>
          <w:bCs w:val="false"/>
          <w:i/>
          <w:iCs/>
          <w:sz w:val="28"/>
          <w:szCs w:val="28"/>
        </w:rPr>
        <w:t>Die Stimme des HERRN (qol JHWH) voller Kraft. Die Stimme des HERRN voll Majestät. Die Stimme des HERRN zerbricht Zedern.  Die Stimme des HERRN sprüht flammendes Feuer; die Stimme des HERRN lässt die Wüste erbeben ...“</w:t>
      </w:r>
      <w:r/>
    </w:p>
    <w:p>
      <w:pPr>
        <w:pStyle w:val="Normal"/>
        <w:rPr>
          <w:sz w:val="28"/>
          <w:i/>
          <w:b w:val="false"/>
          <w:sz w:val="28"/>
          <w:i/>
          <w:b w:val="false"/>
          <w:szCs w:val="28"/>
          <w:iCs/>
          <w:bCs w:val="false"/>
        </w:rPr>
      </w:pPr>
      <w:r>
        <w:rPr/>
      </w:r>
      <w:r/>
    </w:p>
    <w:p>
      <w:pPr>
        <w:pStyle w:val="Normal"/>
      </w:pPr>
      <w:r>
        <w:rPr>
          <w:b w:val="false"/>
          <w:bCs w:val="false"/>
          <w:sz w:val="28"/>
          <w:szCs w:val="28"/>
        </w:rPr>
        <w:t>Im Hintergrund dieser Formulierungen steht das Bewusstsein der Schöpfermacht Gottes, deshalb kann später das Buch der Weisheit formulieren:</w:t>
      </w:r>
      <w:r/>
    </w:p>
    <w:p>
      <w:pPr>
        <w:pStyle w:val="Normal"/>
        <w:rPr>
          <w:sz w:val="28"/>
          <w:b w:val="false"/>
          <w:sz w:val="28"/>
          <w:b w:val="false"/>
          <w:szCs w:val="28"/>
          <w:bCs w:val="false"/>
          <w:rFonts w:ascii="Liberation Serif" w:hAnsi="Liberation Serif" w:eastAsia="SimSun" w:cs="Mangal"/>
          <w:color w:val="00000A"/>
          <w:lang w:val="de-AT" w:eastAsia="zh-CN" w:bidi="hi-IN"/>
        </w:rPr>
      </w:pPr>
      <w:r>
        <w:rPr>
          <w:rFonts w:eastAsia="SimSun" w:cs="Mangal"/>
          <w:b w:val="false"/>
          <w:bCs w:val="false"/>
          <w:color w:val="00000A"/>
          <w:sz w:val="28"/>
          <w:szCs w:val="28"/>
          <w:lang w:val="de-AT" w:eastAsia="zh-CN" w:bidi="hi-IN"/>
        </w:rPr>
      </w:r>
      <w:r/>
    </w:p>
    <w:p>
      <w:pPr>
        <w:pStyle w:val="Normal"/>
      </w:pPr>
      <w:r>
        <w:rPr>
          <w:b w:val="false"/>
          <w:bCs w:val="false"/>
          <w:i/>
          <w:iCs/>
          <w:sz w:val="28"/>
          <w:szCs w:val="28"/>
        </w:rPr>
        <w:t>„</w:t>
      </w:r>
      <w:r>
        <w:rPr>
          <w:b w:val="false"/>
          <w:bCs w:val="false"/>
          <w:i/>
          <w:iCs/>
          <w:sz w:val="28"/>
          <w:szCs w:val="28"/>
        </w:rPr>
        <w:t>Ohne Verstand waren von Natur aus alle Menschen, denen die Gotteserkenntnis fehlte. Aus den sichtbaren Gütern vermochten sie nicht den Seienden (</w:t>
      </w:r>
      <w:r>
        <w:rPr>
          <w:rFonts w:eastAsia="SimSun" w:cs="Mangal"/>
          <w:b w:val="false"/>
          <w:bCs w:val="false"/>
          <w:i/>
          <w:iCs/>
          <w:sz w:val="28"/>
          <w:szCs w:val="28"/>
        </w:rPr>
        <w:t>ὃ ὦν) zu erkennen. Beim Anblick der Werke erkannten sie den Meister (τεχνίτης) nicht, sondern hielten das Feuer, den Wind, die flüchtige Luft, den Kreis der Gestirne, die gewaltige Flut oder die Welt beherrschenden Himmelsleuchten für Gotter. Wenn sie diese, entzückt über ihre Schönheit, schon für Götter hielten, dann hätten sie auch erkennen sollen, wie viel besser ihr Gebieter ist, denn der Urheber der Schönheit hat sie erschaffen …  aus der Größe und Schönheit der Geschöpfe wird in Entsprechung (</w:t>
      </w:r>
      <w:r>
        <w:rPr>
          <w:rFonts w:eastAsia="SimSun" w:cs="Mangal"/>
          <w:b w:val="false"/>
          <w:bCs w:val="false"/>
          <w:i/>
          <w:iCs/>
          <w:sz w:val="28"/>
          <w:szCs w:val="28"/>
        </w:rPr>
        <w:t>à</w:t>
      </w:r>
      <w:r>
        <w:rPr>
          <w:rFonts w:eastAsia="SimSun" w:cs="Mangal"/>
          <w:b w:val="false"/>
          <w:bCs w:val="false"/>
          <w:i/>
          <w:iCs/>
          <w:sz w:val="28"/>
          <w:szCs w:val="28"/>
        </w:rPr>
        <w:t>ναλ</w:t>
      </w:r>
      <w:r>
        <w:rPr>
          <w:rFonts w:eastAsia="SimSun" w:cs="Mangal"/>
          <w:b w:val="false"/>
          <w:bCs w:val="false"/>
          <w:i/>
          <w:iCs/>
          <w:sz w:val="28"/>
          <w:szCs w:val="28"/>
        </w:rPr>
        <w:t>ó</w:t>
      </w:r>
      <w:r>
        <w:rPr>
          <w:rFonts w:eastAsia="SimSun" w:cs="Mangal"/>
          <w:b w:val="false"/>
          <w:bCs w:val="false"/>
          <w:i/>
          <w:iCs/>
          <w:sz w:val="28"/>
          <w:szCs w:val="28"/>
        </w:rPr>
        <w:t>γφς) ihr Schöpfer erschaut“</w:t>
      </w:r>
      <w:r>
        <w:rPr>
          <w:rFonts w:eastAsia="SimSun" w:cs="Mangal"/>
          <w:b w:val="false"/>
          <w:bCs w:val="false"/>
          <w:sz w:val="28"/>
          <w:szCs w:val="28"/>
        </w:rPr>
        <w:t xml:space="preserve"> (Weish 13,1-5). </w:t>
      </w:r>
      <w:r/>
    </w:p>
    <w:p>
      <w:pPr>
        <w:pStyle w:val="Normal"/>
        <w:rPr>
          <w:sz w:val="28"/>
          <w:b w:val="false"/>
          <w:sz w:val="28"/>
          <w:b w:val="false"/>
          <w:szCs w:val="28"/>
          <w:bCs w:val="false"/>
          <w:rFonts w:ascii="Liberation Serif" w:hAnsi="Liberation Serif" w:eastAsia="SimSun" w:cs="Mangal"/>
          <w:color w:val="00000A"/>
          <w:lang w:val="de-AT" w:eastAsia="zh-CN" w:bidi="hi-IN"/>
        </w:rPr>
      </w:pPr>
      <w:r>
        <w:rPr>
          <w:rFonts w:eastAsia="SimSun" w:cs="Mangal"/>
          <w:b w:val="false"/>
          <w:bCs w:val="false"/>
          <w:color w:val="00000A"/>
          <w:sz w:val="28"/>
          <w:szCs w:val="28"/>
          <w:lang w:val="de-AT" w:eastAsia="zh-CN" w:bidi="hi-IN"/>
        </w:rPr>
      </w:r>
      <w:r/>
    </w:p>
    <w:p>
      <w:pPr>
        <w:pStyle w:val="Normal"/>
      </w:pPr>
      <w:r>
        <w:rPr>
          <w:rFonts w:eastAsia="SimSun" w:cs="Mangal"/>
          <w:b w:val="false"/>
          <w:bCs w:val="false"/>
          <w:sz w:val="28"/>
          <w:szCs w:val="28"/>
        </w:rPr>
        <w:t xml:space="preserve">Und </w:t>
      </w:r>
      <w:r>
        <w:rPr>
          <w:b w:val="false"/>
          <w:bCs w:val="false"/>
          <w:sz w:val="28"/>
          <w:szCs w:val="28"/>
        </w:rPr>
        <w:t xml:space="preserve">Paulus hält überhaupt jene für unentschuldbar, die den unsichtbaren Gott nicht aus seinen Werken, die sie vor Augen haben, erkennen und an dessen Stelle selbstgemachte Götzen anbeten (Röm 1,19f). </w:t>
      </w:r>
      <w:r/>
    </w:p>
    <w:p>
      <w:pPr>
        <w:pStyle w:val="Normal"/>
        <w:rPr>
          <w:sz w:val="28"/>
          <w:b w:val="false"/>
          <w:sz w:val="28"/>
          <w:b w:val="false"/>
          <w:szCs w:val="28"/>
          <w:bCs w:val="false"/>
          <w:rFonts w:ascii="Liberation Serif" w:hAnsi="Liberation Serif" w:eastAsia="SimSun" w:cs="Mangal"/>
          <w:color w:val="00000A"/>
          <w:lang w:val="de-AT" w:eastAsia="zh-CN" w:bidi="hi-IN"/>
        </w:rPr>
      </w:pPr>
      <w:r>
        <w:rPr>
          <w:rFonts w:eastAsia="SimSun" w:cs="Mangal"/>
          <w:b w:val="false"/>
          <w:bCs w:val="false"/>
          <w:color w:val="00000A"/>
          <w:sz w:val="28"/>
          <w:szCs w:val="28"/>
          <w:lang w:val="de-AT" w:eastAsia="zh-CN" w:bidi="hi-IN"/>
        </w:rPr>
      </w:r>
      <w:r/>
    </w:p>
    <w:p>
      <w:pPr>
        <w:pStyle w:val="Normal"/>
      </w:pPr>
      <w:r>
        <w:rPr>
          <w:b w:val="false"/>
          <w:bCs w:val="false"/>
          <w:sz w:val="28"/>
          <w:szCs w:val="28"/>
        </w:rPr>
        <w:t xml:space="preserve"> </w:t>
      </w:r>
      <w:r>
        <w:rPr>
          <w:b w:val="false"/>
          <w:bCs w:val="false"/>
          <w:sz w:val="28"/>
          <w:szCs w:val="28"/>
        </w:rPr>
        <w:t xml:space="preserve">Darum scheint mir, dass der Anfang von Ps 19 ein Text sein kann, mit dem Pilger und Pilgerinnen ihre Gedanken zu Gott erheben können, </w:t>
      </w:r>
      <w:r>
        <w:rPr>
          <w:b w:val="false"/>
          <w:bCs w:val="false"/>
          <w:sz w:val="28"/>
          <w:szCs w:val="28"/>
        </w:rPr>
        <w:t xml:space="preserve">wenn sie die Schönheit </w:t>
      </w:r>
      <w:r>
        <w:rPr>
          <w:b w:val="false"/>
          <w:bCs w:val="false"/>
          <w:sz w:val="28"/>
          <w:szCs w:val="28"/>
        </w:rPr>
        <w:t xml:space="preserve">der Natur  </w:t>
      </w:r>
      <w:r>
        <w:rPr>
          <w:b w:val="false"/>
          <w:bCs w:val="false"/>
          <w:sz w:val="28"/>
          <w:szCs w:val="28"/>
        </w:rPr>
        <w:t>erleben</w:t>
      </w:r>
      <w:r>
        <w:rPr>
          <w:b w:val="false"/>
          <w:bCs w:val="false"/>
          <w:sz w:val="28"/>
          <w:szCs w:val="28"/>
        </w:rPr>
        <w:t>:</w:t>
      </w:r>
      <w:r/>
    </w:p>
    <w:p>
      <w:pPr>
        <w:pStyle w:val="Normal"/>
        <w:rPr>
          <w:sz w:val="28"/>
          <w:b w:val="false"/>
          <w:sz w:val="28"/>
          <w:b w:val="false"/>
          <w:szCs w:val="28"/>
          <w:bCs w:val="false"/>
          <w:rFonts w:ascii="Liberation Serif" w:hAnsi="Liberation Serif" w:eastAsia="SimSun" w:cs="Mangal"/>
          <w:color w:val="00000A"/>
          <w:lang w:val="de-AT" w:eastAsia="zh-CN" w:bidi="hi-IN"/>
        </w:rPr>
      </w:pPr>
      <w:r>
        <w:rPr>
          <w:rFonts w:eastAsia="SimSun" w:cs="Mangal"/>
          <w:b w:val="false"/>
          <w:bCs w:val="false"/>
          <w:color w:val="00000A"/>
          <w:sz w:val="28"/>
          <w:szCs w:val="28"/>
          <w:lang w:val="de-AT" w:eastAsia="zh-CN" w:bidi="hi-IN"/>
        </w:rPr>
      </w:r>
      <w:r/>
    </w:p>
    <w:p>
      <w:pPr>
        <w:pStyle w:val="Normal"/>
      </w:pPr>
      <w:r>
        <w:rPr>
          <w:b w:val="false"/>
          <w:bCs w:val="false"/>
          <w:sz w:val="28"/>
          <w:szCs w:val="28"/>
        </w:rPr>
        <w:t>Ha-shamajim mesapperim kebod-EL uma'a</w:t>
      </w:r>
      <w:r>
        <w:rPr>
          <w:b w:val="false"/>
          <w:bCs w:val="false"/>
          <w:sz w:val="28"/>
          <w:szCs w:val="28"/>
        </w:rPr>
        <w:t>s</w:t>
      </w:r>
      <w:r>
        <w:rPr>
          <w:b w:val="false"/>
          <w:bCs w:val="false"/>
          <w:sz w:val="28"/>
          <w:szCs w:val="28"/>
        </w:rPr>
        <w:t>eh jadajw maggid  ha-raqi'a</w:t>
      </w:r>
      <w:r/>
    </w:p>
    <w:p>
      <w:pPr>
        <w:pStyle w:val="Normal"/>
      </w:pPr>
      <w:r>
        <w:rPr>
          <w:b w:val="false"/>
          <w:bCs w:val="false"/>
          <w:i/>
          <w:iCs/>
          <w:sz w:val="28"/>
          <w:szCs w:val="28"/>
        </w:rPr>
        <w:t>„</w:t>
      </w:r>
      <w:r>
        <w:rPr>
          <w:b w:val="false"/>
          <w:bCs w:val="false"/>
          <w:i/>
          <w:iCs/>
          <w:sz w:val="28"/>
          <w:szCs w:val="28"/>
        </w:rPr>
        <w:t xml:space="preserve">Die Himmel erzählen von Gottes Herrlichkeit. Das Sternenzelt verkündet das Werk seiner Hände. Ein Tag ruft die Botschaft dem anderen zu. Eine Nacht teilt ihr Wissen der nächsten mit. Ohne Sprache und ohne Worte geschieht das. Was sie einander sagen –  </w:t>
      </w:r>
      <w:r>
        <w:rPr>
          <w:b w:val="false"/>
          <w:bCs w:val="false"/>
          <w:i/>
          <w:iCs/>
          <w:sz w:val="28"/>
          <w:szCs w:val="28"/>
        </w:rPr>
        <w:t xml:space="preserve">ihre Stimme (qol) </w:t>
      </w:r>
      <w:r>
        <w:rPr>
          <w:b w:val="false"/>
          <w:bCs w:val="false"/>
          <w:i/>
          <w:iCs/>
          <w:sz w:val="28"/>
          <w:szCs w:val="28"/>
        </w:rPr>
        <w:t>hört man nicht. Doch ihre Botschaft geht hinaus in alle Länder. Ihre Kunde dringt bis ans Ende der Welt.“</w:t>
      </w:r>
      <w:r>
        <w:rPr>
          <w:b w:val="false"/>
          <w:bCs w:val="false"/>
          <w:sz w:val="28"/>
          <w:szCs w:val="28"/>
        </w:rPr>
        <w:t xml:space="preserve"> (V. 1-5a). </w:t>
      </w:r>
      <w:r>
        <w:rPr>
          <w:b w:val="false"/>
          <w:bCs w:val="false"/>
          <w:sz w:val="22"/>
          <w:szCs w:val="22"/>
        </w:rPr>
        <w:t>(Übersetzung der Basis-Bibel)</w:t>
      </w:r>
      <w:r/>
    </w:p>
    <w:p>
      <w:pPr>
        <w:pStyle w:val="Normal"/>
        <w:rPr>
          <w:sz w:val="25"/>
          <w:b w:val="false"/>
          <w:sz w:val="25"/>
          <w:b w:val="false"/>
          <w:szCs w:val="28"/>
          <w:bCs w:val="false"/>
          <w:rFonts w:ascii="Liberation Serif" w:hAnsi="Liberation Serif" w:eastAsia="SimSun" w:cs="Mangal"/>
          <w:color w:val="00000A"/>
          <w:lang w:val="de-AT" w:eastAsia="zh-CN" w:bidi="hi-IN"/>
        </w:rPr>
      </w:pPr>
      <w:r>
        <w:rPr>
          <w:rFonts w:eastAsia="SimSun" w:cs="Mangal"/>
          <w:b w:val="false"/>
          <w:bCs w:val="false"/>
          <w:color w:val="00000A"/>
          <w:sz w:val="25"/>
          <w:szCs w:val="28"/>
          <w:lang w:val="de-AT" w:eastAsia="zh-CN" w:bidi="hi-IN"/>
        </w:rPr>
      </w:r>
      <w:r/>
    </w:p>
    <w:p>
      <w:pPr>
        <w:pStyle w:val="Normal"/>
      </w:pPr>
      <w:r>
        <w:rPr>
          <w:b w:val="false"/>
          <w:bCs w:val="false"/>
          <w:sz w:val="28"/>
          <w:szCs w:val="28"/>
        </w:rPr>
        <w:t xml:space="preserve">Die jüdische Frömmigkeit hat angeregt von der Schönheit der Natur und belehrt von den biblischen Vorbildern den Brauch entwickelt, Gott mit einer </w:t>
      </w:r>
      <w:r>
        <w:rPr>
          <w:b w:val="false"/>
          <w:bCs w:val="false"/>
          <w:i/>
          <w:iCs/>
          <w:sz w:val="28"/>
          <w:szCs w:val="28"/>
        </w:rPr>
        <w:t>Berakah</w:t>
      </w:r>
      <w:r>
        <w:rPr>
          <w:b w:val="false"/>
          <w:bCs w:val="false"/>
          <w:sz w:val="28"/>
          <w:szCs w:val="28"/>
        </w:rPr>
        <w:t xml:space="preserve"> für </w:t>
      </w:r>
      <w:r>
        <w:rPr>
          <w:b w:val="false"/>
          <w:bCs w:val="false"/>
          <w:sz w:val="28"/>
          <w:szCs w:val="28"/>
        </w:rPr>
        <w:t>die</w:t>
      </w:r>
      <w:r>
        <w:rPr>
          <w:b w:val="false"/>
          <w:bCs w:val="false"/>
          <w:sz w:val="28"/>
          <w:szCs w:val="28"/>
        </w:rPr>
        <w:t xml:space="preserve"> Erscheinungen der Natur zu danken und daraus gleichsam eine Art „Eucharistie der Natur“ gemacht.  Mit einem Lobpreis über blühende Bäume, den Duft des Waldes, der Gewalt der Blitze. dem Anblick hoher Gebirge oder des Regenbogens, der an Gottes Treue zum Bund mit Noah erinnert, hält sich der Gläubige die Werke der Schöpfung vor Augen und lobt seinen Gott:</w:t>
      </w:r>
      <w:r/>
    </w:p>
    <w:p>
      <w:pPr>
        <w:pStyle w:val="Normal"/>
      </w:pPr>
      <w:r>
        <w:rPr>
          <w:b w:val="false"/>
          <w:bCs w:val="false"/>
          <w:i/>
          <w:iCs/>
          <w:sz w:val="28"/>
          <w:szCs w:val="28"/>
        </w:rPr>
        <w:t>„</w:t>
      </w:r>
      <w:r>
        <w:rPr>
          <w:b w:val="false"/>
          <w:bCs w:val="false"/>
          <w:i/>
          <w:iCs/>
          <w:sz w:val="28"/>
          <w:szCs w:val="28"/>
        </w:rPr>
        <w:t>Gepriesen seist du Ewiger, unser Gott, König der Welt, der Du das Werk der Schöpfung vollbracht hast,  dem alles gehört, was in seiner Welt ist.</w:t>
      </w:r>
      <w:r>
        <w:rPr>
          <w:b w:val="false"/>
          <w:bCs w:val="false"/>
          <w:sz w:val="28"/>
          <w:szCs w:val="28"/>
        </w:rPr>
        <w:t>“</w:t>
      </w:r>
      <w:r/>
    </w:p>
    <w:sectPr>
      <w:headerReference w:type="default" r:id="rId2"/>
      <w:type w:val="nextPage"/>
      <w:pgSz w:w="11906" w:h="16838"/>
      <w:pgMar w:left="1134" w:right="1134" w:header="1134" w:top="1693"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Kopfzeile"/>
    </w:pPr>
    <w:r>
      <w:rPr/>
      <w:fldChar w:fldCharType="begin"/>
    </w:r>
    <w:r>
      <w:instrText> PAGE </w:instrText>
    </w:r>
    <w:r>
      <w:fldChar w:fldCharType="separate"/>
    </w:r>
    <w:r>
      <w:t>2</w:t>
    </w:r>
    <w:r>
      <w:fldChar w:fldCharType="end"/>
    </w:r>
    <w:r/>
  </w:p>
</w:hdr>
</file>

<file path=word/settings.xml><?xml version="1.0" encoding="utf-8"?>
<w:settings xmlns:w="http://schemas.openxmlformats.org/wordprocessingml/2006/main">
  <w:zoom w:percent="15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0"/>
        <w:szCs w:val="24"/>
        <w:lang w:val="de-AT" w:eastAsia="zh-CN" w:bidi="hi-IN"/>
      </w:rPr>
    </w:rPrDefault>
    <w:pPrDefault>
      <w:pPr/>
    </w:pPrDefault>
  </w:docDefaults>
  <w:style w:type="paragraph" w:styleId="Normal">
    <w:name w:val="Normal"/>
    <w:pPr>
      <w:widowControl w:val="false"/>
      <w:suppressAutoHyphens w:val="true"/>
      <w:bidi w:val="0"/>
      <w:jc w:val="left"/>
    </w:pPr>
    <w:rPr>
      <w:rFonts w:ascii="Liberation Serif" w:hAnsi="Liberation Serif" w:eastAsia="SimSun" w:cs="Mangal"/>
      <w:color w:val="00000A"/>
      <w:sz w:val="24"/>
      <w:szCs w:val="24"/>
      <w:lang w:val="de-AT" w:eastAsia="zh-CN" w:bidi="hi-IN"/>
    </w:rPr>
  </w:style>
  <w:style w:type="paragraph" w:styleId="Berschrift">
    <w:name w:val="Überschrift"/>
    <w:basedOn w:val="Normal"/>
    <w:next w:val="Textkrper"/>
    <w:pPr>
      <w:keepNext/>
      <w:spacing w:before="240" w:after="120"/>
    </w:pPr>
    <w:rPr>
      <w:rFonts w:ascii="Liberation Sans" w:hAnsi="Liberation Sans" w:eastAsia="Microsoft YaHei" w:cs="Mangal"/>
      <w:sz w:val="28"/>
      <w:szCs w:val="28"/>
    </w:rPr>
  </w:style>
  <w:style w:type="paragraph" w:styleId="Textkrper">
    <w:name w:val="Textkörper"/>
    <w:basedOn w:val="Normal"/>
    <w:pPr>
      <w:spacing w:lineRule="auto" w:line="288" w:before="0" w:after="140"/>
    </w:pPr>
    <w:rPr/>
  </w:style>
  <w:style w:type="paragraph" w:styleId="Liste">
    <w:name w:val="Liste"/>
    <w:basedOn w:val="Textkrper"/>
    <w:pPr/>
    <w:rPr>
      <w:rFonts w:cs="Mangal"/>
    </w:rPr>
  </w:style>
  <w:style w:type="paragraph" w:styleId="Beschriftung">
    <w:name w:val="Beschriftung"/>
    <w:basedOn w:val="Normal"/>
    <w:pPr>
      <w:suppressLineNumbers/>
      <w:spacing w:before="120" w:after="120"/>
    </w:pPr>
    <w:rPr>
      <w:rFonts w:cs="Mangal"/>
      <w:i/>
      <w:iCs/>
      <w:sz w:val="24"/>
      <w:szCs w:val="24"/>
    </w:rPr>
  </w:style>
  <w:style w:type="paragraph" w:styleId="Verzeichnis">
    <w:name w:val="Verzeichnis"/>
    <w:basedOn w:val="Normal"/>
    <w:pPr>
      <w:suppressLineNumbers/>
    </w:pPr>
    <w:rPr>
      <w:rFonts w:cs="Mangal"/>
    </w:rPr>
  </w:style>
  <w:style w:type="paragraph" w:styleId="Kopfzeile">
    <w:name w:val="Kopfzeile"/>
    <w:basedOn w:val="Normal"/>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31</TotalTime>
  <Application>LibreOffice/4.3.7.2$Windows_x86 LibreOffice_project/8a35821d8636a03b8bf4e15b48f59794652c68ba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2021-08-13T15:01:37Z</dcterms:created>
  <dc:language>de-AT</dc:language>
  <cp:lastPrinted>2021-08-13T17:08:02Z</cp:lastPrinted>
  <dcterms:modified xsi:type="dcterms:W3CDTF">2021-08-31T12:20:31Z</dcterms:modified>
  <cp:revision>11</cp:revision>
</cp:coreProperties>
</file>