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CD0" w:rsidRPr="007C1E99" w:rsidRDefault="007C1E99" w:rsidP="00B57D9F">
      <w:pPr>
        <w:spacing w:after="120" w:line="360" w:lineRule="auto"/>
        <w:rPr>
          <w:rFonts w:ascii="Arial" w:hAnsi="Arial" w:cs="Arial"/>
          <w:b/>
          <w:sz w:val="24"/>
          <w:szCs w:val="22"/>
          <w:lang w:val="de-AT"/>
        </w:rPr>
      </w:pPr>
      <w:bookmarkStart w:id="0" w:name="_GoBack"/>
      <w:bookmarkEnd w:id="0"/>
      <w:r w:rsidRPr="007C1E99">
        <w:rPr>
          <w:rFonts w:ascii="Arial" w:hAnsi="Arial" w:cs="Arial"/>
          <w:b/>
          <w:sz w:val="24"/>
          <w:szCs w:val="22"/>
          <w:lang w:val="de-AT"/>
        </w:rPr>
        <w:t>Menschen in suizidalen Krisen verstehen</w:t>
      </w:r>
    </w:p>
    <w:p w:rsidR="00745CD0" w:rsidRDefault="00745CD0" w:rsidP="00B57D9F">
      <w:pPr>
        <w:spacing w:after="120" w:line="360" w:lineRule="auto"/>
        <w:rPr>
          <w:rFonts w:ascii="Arial" w:hAnsi="Arial" w:cs="Arial"/>
          <w:i/>
          <w:sz w:val="22"/>
          <w:szCs w:val="22"/>
          <w:lang w:val="de-AT"/>
        </w:rPr>
      </w:pPr>
      <w:r w:rsidRPr="007C1E99">
        <w:rPr>
          <w:rFonts w:ascii="Arial" w:hAnsi="Arial" w:cs="Arial"/>
          <w:b/>
          <w:i/>
          <w:szCs w:val="22"/>
          <w:lang w:val="de-AT"/>
        </w:rPr>
        <w:t>Assoc. Prof. Priv.-Doz. Dr. Nestor Kapusta</w:t>
      </w:r>
      <w:r w:rsidRPr="007C1E99">
        <w:rPr>
          <w:rFonts w:ascii="Arial" w:hAnsi="Arial" w:cs="Arial"/>
          <w:b/>
          <w:i/>
          <w:szCs w:val="22"/>
          <w:lang w:val="de-AT"/>
        </w:rPr>
        <w:br/>
      </w:r>
      <w:r w:rsidRPr="00B611EB">
        <w:rPr>
          <w:rFonts w:ascii="Arial" w:hAnsi="Arial" w:cs="Arial"/>
          <w:i/>
          <w:sz w:val="22"/>
          <w:szCs w:val="22"/>
          <w:lang w:val="de-AT"/>
        </w:rPr>
        <w:t>Universitätsklinik für Psychoanalyse und Psychotherapie, MedUni Wien</w:t>
      </w:r>
    </w:p>
    <w:p w:rsidR="00707020" w:rsidRDefault="00707020" w:rsidP="00B57D9F">
      <w:pPr>
        <w:spacing w:after="120" w:line="360" w:lineRule="auto"/>
        <w:contextualSpacing/>
        <w:rPr>
          <w:rFonts w:ascii="Arial" w:hAnsi="Arial" w:cs="Arial"/>
          <w:b/>
          <w:i/>
          <w:sz w:val="22"/>
          <w:szCs w:val="22"/>
          <w:lang w:val="de-AT"/>
        </w:rPr>
      </w:pPr>
    </w:p>
    <w:p w:rsidR="00B8605A" w:rsidRDefault="00745CD0" w:rsidP="00B57D9F">
      <w:pPr>
        <w:spacing w:after="120" w:line="360" w:lineRule="auto"/>
        <w:contextualSpacing/>
        <w:rPr>
          <w:rFonts w:ascii="Arial" w:hAnsi="Arial" w:cs="Arial"/>
          <w:sz w:val="22"/>
          <w:szCs w:val="22"/>
          <w:lang w:val="de-AT"/>
        </w:rPr>
      </w:pPr>
      <w:r w:rsidRPr="00745CD0">
        <w:rPr>
          <w:rFonts w:ascii="Arial" w:hAnsi="Arial" w:cs="Arial"/>
          <w:sz w:val="22"/>
          <w:szCs w:val="22"/>
          <w:lang w:val="de-AT"/>
        </w:rPr>
        <w:t>Die jährliche Anzahl der Suizide ist in Österreich seit 1987 rückläufig</w:t>
      </w:r>
      <w:r w:rsidR="00612364">
        <w:rPr>
          <w:rFonts w:ascii="Arial" w:hAnsi="Arial" w:cs="Arial"/>
          <w:sz w:val="22"/>
          <w:szCs w:val="22"/>
          <w:lang w:val="de-AT"/>
        </w:rPr>
        <w:t>,</w:t>
      </w:r>
      <w:r>
        <w:rPr>
          <w:rFonts w:ascii="Arial" w:hAnsi="Arial" w:cs="Arial"/>
          <w:sz w:val="22"/>
          <w:szCs w:val="22"/>
          <w:lang w:val="de-AT"/>
        </w:rPr>
        <w:t xml:space="preserve"> dennoch </w:t>
      </w:r>
      <w:r w:rsidRPr="00745CD0">
        <w:rPr>
          <w:rFonts w:ascii="Arial" w:hAnsi="Arial" w:cs="Arial"/>
          <w:sz w:val="22"/>
          <w:szCs w:val="22"/>
          <w:lang w:val="de-AT"/>
        </w:rPr>
        <w:t xml:space="preserve"> versterben weiterhin nahezu gleich viele Menschen durch Suizid</w:t>
      </w:r>
      <w:r w:rsidR="00707020">
        <w:rPr>
          <w:rFonts w:ascii="Arial" w:hAnsi="Arial" w:cs="Arial"/>
          <w:sz w:val="22"/>
          <w:szCs w:val="22"/>
          <w:lang w:val="de-AT"/>
        </w:rPr>
        <w:t xml:space="preserve"> (</w:t>
      </w:r>
      <w:r w:rsidR="007C1E99">
        <w:rPr>
          <w:rFonts w:ascii="Arial" w:hAnsi="Arial" w:cs="Arial"/>
          <w:sz w:val="22"/>
          <w:szCs w:val="22"/>
          <w:lang w:val="de-AT"/>
        </w:rPr>
        <w:t>2016</w:t>
      </w:r>
      <w:r w:rsidR="00707020">
        <w:rPr>
          <w:rFonts w:ascii="Arial" w:hAnsi="Arial" w:cs="Arial"/>
          <w:sz w:val="22"/>
          <w:szCs w:val="22"/>
          <w:lang w:val="de-AT"/>
        </w:rPr>
        <w:t>: 1.</w:t>
      </w:r>
      <w:r w:rsidR="007C1E99">
        <w:rPr>
          <w:rFonts w:ascii="Arial" w:hAnsi="Arial" w:cs="Arial"/>
          <w:sz w:val="22"/>
          <w:szCs w:val="22"/>
          <w:lang w:val="de-AT"/>
        </w:rPr>
        <w:t>198</w:t>
      </w:r>
      <w:r w:rsidR="00707020">
        <w:rPr>
          <w:rFonts w:ascii="Arial" w:hAnsi="Arial" w:cs="Arial"/>
          <w:sz w:val="22"/>
          <w:szCs w:val="22"/>
          <w:lang w:val="de-AT"/>
        </w:rPr>
        <w:t xml:space="preserve"> Suizide)</w:t>
      </w:r>
      <w:r w:rsidRPr="00745CD0">
        <w:rPr>
          <w:rFonts w:ascii="Arial" w:hAnsi="Arial" w:cs="Arial"/>
          <w:sz w:val="22"/>
          <w:szCs w:val="22"/>
          <w:lang w:val="de-AT"/>
        </w:rPr>
        <w:t xml:space="preserve"> wie durch Brustkrebs. </w:t>
      </w:r>
      <w:r>
        <w:rPr>
          <w:rFonts w:ascii="Arial" w:hAnsi="Arial" w:cs="Arial"/>
          <w:sz w:val="22"/>
          <w:szCs w:val="22"/>
          <w:lang w:val="de-AT"/>
        </w:rPr>
        <w:t xml:space="preserve">Während wir noch vor 20 Jahren zu den Ländern mit den höchsten Suizidraten zählten, liegt Österreich nun durch </w:t>
      </w:r>
      <w:r w:rsidR="00612364">
        <w:rPr>
          <w:rFonts w:ascii="Arial" w:hAnsi="Arial" w:cs="Arial"/>
          <w:sz w:val="22"/>
          <w:szCs w:val="22"/>
          <w:lang w:val="de-AT"/>
        </w:rPr>
        <w:t>diesen</w:t>
      </w:r>
      <w:r>
        <w:rPr>
          <w:rFonts w:ascii="Arial" w:hAnsi="Arial" w:cs="Arial"/>
          <w:sz w:val="22"/>
          <w:szCs w:val="22"/>
          <w:lang w:val="de-AT"/>
        </w:rPr>
        <w:t xml:space="preserve"> Rückgang im Mittelfeld</w:t>
      </w:r>
      <w:r w:rsidR="00E41DB9">
        <w:rPr>
          <w:rFonts w:ascii="Arial" w:hAnsi="Arial" w:cs="Arial"/>
          <w:sz w:val="22"/>
          <w:szCs w:val="22"/>
          <w:lang w:val="de-AT"/>
        </w:rPr>
        <w:t xml:space="preserve"> (Grafik)</w:t>
      </w:r>
      <w:r>
        <w:rPr>
          <w:rFonts w:ascii="Arial" w:hAnsi="Arial" w:cs="Arial"/>
          <w:sz w:val="22"/>
          <w:szCs w:val="22"/>
          <w:lang w:val="de-AT"/>
        </w:rPr>
        <w:t xml:space="preserve">. Seit Ende der 1980er Jahre </w:t>
      </w:r>
      <w:r w:rsidR="00612364">
        <w:rPr>
          <w:rFonts w:ascii="Arial" w:hAnsi="Arial" w:cs="Arial"/>
          <w:sz w:val="22"/>
          <w:szCs w:val="22"/>
          <w:lang w:val="de-AT"/>
        </w:rPr>
        <w:t>kam</w:t>
      </w:r>
      <w:r>
        <w:rPr>
          <w:rFonts w:ascii="Arial" w:hAnsi="Arial" w:cs="Arial"/>
          <w:sz w:val="22"/>
          <w:szCs w:val="22"/>
          <w:lang w:val="de-AT"/>
        </w:rPr>
        <w:t xml:space="preserve"> es in vielen Ländern zu einer Reduktion der Suizidmortalität, die von einer deutlichen Veränderung im psychosozialen System begleitet </w:t>
      </w:r>
      <w:r w:rsidR="00707020">
        <w:rPr>
          <w:rFonts w:ascii="Arial" w:hAnsi="Arial" w:cs="Arial"/>
          <w:sz w:val="22"/>
          <w:szCs w:val="22"/>
          <w:lang w:val="de-AT"/>
        </w:rPr>
        <w:t>war</w:t>
      </w:r>
      <w:r w:rsidR="00E41DB9">
        <w:rPr>
          <w:rFonts w:ascii="Arial" w:hAnsi="Arial" w:cs="Arial"/>
          <w:sz w:val="22"/>
          <w:szCs w:val="22"/>
          <w:lang w:val="de-AT"/>
        </w:rPr>
        <w:t xml:space="preserve"> (Grafik)</w:t>
      </w:r>
      <w:r>
        <w:rPr>
          <w:rFonts w:ascii="Arial" w:hAnsi="Arial" w:cs="Arial"/>
          <w:sz w:val="22"/>
          <w:szCs w:val="22"/>
          <w:lang w:val="de-AT"/>
        </w:rPr>
        <w:t xml:space="preserve">. </w:t>
      </w:r>
      <w:r w:rsidR="00B8605A">
        <w:rPr>
          <w:noProof/>
        </w:rPr>
        <w:drawing>
          <wp:inline distT="0" distB="0" distL="0" distR="0" wp14:anchorId="26B0C04D" wp14:editId="65CE1C2B">
            <wp:extent cx="5550794" cy="309407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557511" cy="3097819"/>
                    </a:xfrm>
                    <a:prstGeom prst="rect">
                      <a:avLst/>
                    </a:prstGeom>
                  </pic:spPr>
                </pic:pic>
              </a:graphicData>
            </a:graphic>
          </wp:inline>
        </w:drawing>
      </w:r>
    </w:p>
    <w:p w:rsidR="00B8605A" w:rsidRDefault="00B8605A" w:rsidP="00B57D9F">
      <w:pPr>
        <w:spacing w:after="120" w:line="360" w:lineRule="auto"/>
        <w:contextualSpacing/>
        <w:rPr>
          <w:rFonts w:ascii="Arial" w:hAnsi="Arial" w:cs="Arial"/>
          <w:sz w:val="22"/>
          <w:szCs w:val="22"/>
          <w:lang w:val="de-AT"/>
        </w:rPr>
      </w:pPr>
    </w:p>
    <w:p w:rsidR="00612364" w:rsidRDefault="00612364" w:rsidP="00B57D9F">
      <w:pPr>
        <w:spacing w:after="120" w:line="360" w:lineRule="auto"/>
        <w:contextualSpacing/>
        <w:rPr>
          <w:rFonts w:ascii="Arial" w:hAnsi="Arial" w:cs="Arial"/>
          <w:sz w:val="22"/>
          <w:szCs w:val="22"/>
          <w:lang w:val="de-AT"/>
        </w:rPr>
      </w:pPr>
      <w:r>
        <w:rPr>
          <w:rFonts w:ascii="Arial" w:hAnsi="Arial" w:cs="Arial"/>
          <w:sz w:val="22"/>
          <w:szCs w:val="22"/>
          <w:lang w:val="de-AT"/>
        </w:rPr>
        <w:t xml:space="preserve">Die gesellschaftliche Aufklärung über psychische Erkrankungen und die Akzeptanz von </w:t>
      </w:r>
      <w:r w:rsidR="00642CCB">
        <w:rPr>
          <w:rFonts w:ascii="Arial" w:hAnsi="Arial" w:cs="Arial"/>
          <w:sz w:val="22"/>
          <w:szCs w:val="22"/>
          <w:lang w:val="de-AT"/>
        </w:rPr>
        <w:t xml:space="preserve">ambulanten und stationären psychiatrischen und psychotherapeutischen </w:t>
      </w:r>
      <w:r>
        <w:rPr>
          <w:rFonts w:ascii="Arial" w:hAnsi="Arial" w:cs="Arial"/>
          <w:sz w:val="22"/>
          <w:szCs w:val="22"/>
          <w:lang w:val="de-AT"/>
        </w:rPr>
        <w:t>Behandlungsangeboten steigt stetig</w:t>
      </w:r>
      <w:r w:rsidR="00642CCB">
        <w:rPr>
          <w:rFonts w:ascii="Arial" w:hAnsi="Arial" w:cs="Arial"/>
          <w:sz w:val="22"/>
          <w:szCs w:val="22"/>
          <w:lang w:val="de-AT"/>
        </w:rPr>
        <w:t xml:space="preserve"> und dies obwohl manche Behandlungen </w:t>
      </w:r>
      <w:r w:rsidR="00642CCB" w:rsidRPr="00642CCB">
        <w:rPr>
          <w:rFonts w:ascii="Arial" w:hAnsi="Arial" w:cs="Arial"/>
          <w:i/>
          <w:sz w:val="22"/>
          <w:szCs w:val="22"/>
          <w:lang w:val="de-AT"/>
        </w:rPr>
        <w:t>out-of-pocket</w:t>
      </w:r>
      <w:r w:rsidR="00642CCB">
        <w:rPr>
          <w:rFonts w:ascii="Arial" w:hAnsi="Arial" w:cs="Arial"/>
          <w:sz w:val="22"/>
          <w:szCs w:val="22"/>
          <w:lang w:val="de-AT"/>
        </w:rPr>
        <w:t xml:space="preserve">  Leistungen darstellen und sozial unterprivilegierte</w:t>
      </w:r>
      <w:r w:rsidR="007C1E99">
        <w:rPr>
          <w:rFonts w:ascii="Arial" w:hAnsi="Arial" w:cs="Arial"/>
          <w:sz w:val="22"/>
          <w:szCs w:val="22"/>
          <w:lang w:val="de-AT"/>
        </w:rPr>
        <w:t>n</w:t>
      </w:r>
      <w:r w:rsidR="00642CCB">
        <w:rPr>
          <w:rFonts w:ascii="Arial" w:hAnsi="Arial" w:cs="Arial"/>
          <w:sz w:val="22"/>
          <w:szCs w:val="22"/>
          <w:lang w:val="de-AT"/>
        </w:rPr>
        <w:t xml:space="preserve"> Menschen schwerer zugänglich sind. </w:t>
      </w:r>
    </w:p>
    <w:p w:rsidR="00B8605A" w:rsidRDefault="00B8605A">
      <w:pPr>
        <w:spacing w:after="200" w:line="276" w:lineRule="auto"/>
        <w:rPr>
          <w:rFonts w:ascii="Arial" w:hAnsi="Arial" w:cs="Arial"/>
          <w:sz w:val="22"/>
          <w:szCs w:val="22"/>
          <w:lang w:val="de-AT"/>
        </w:rPr>
      </w:pPr>
      <w:r>
        <w:rPr>
          <w:rFonts w:ascii="Arial" w:hAnsi="Arial" w:cs="Arial"/>
          <w:sz w:val="22"/>
          <w:szCs w:val="22"/>
          <w:lang w:val="de-AT"/>
        </w:rPr>
        <w:br w:type="page"/>
      </w:r>
    </w:p>
    <w:p w:rsidR="007C1E99" w:rsidRDefault="007C1E99" w:rsidP="00B57D9F">
      <w:pPr>
        <w:spacing w:after="120" w:line="360" w:lineRule="auto"/>
        <w:contextualSpacing/>
        <w:rPr>
          <w:rFonts w:ascii="Arial" w:hAnsi="Arial" w:cs="Arial"/>
          <w:sz w:val="22"/>
          <w:szCs w:val="22"/>
          <w:lang w:val="de-AT"/>
        </w:rPr>
      </w:pPr>
      <w:r>
        <w:rPr>
          <w:rFonts w:ascii="Arial" w:hAnsi="Arial" w:cs="Arial"/>
          <w:sz w:val="22"/>
          <w:szCs w:val="22"/>
          <w:lang w:val="de-AT"/>
        </w:rPr>
        <w:lastRenderedPageBreak/>
        <w:t>Suizidzahlen 2016:</w:t>
      </w:r>
    </w:p>
    <w:tbl>
      <w:tblPr>
        <w:tblW w:w="4120" w:type="dxa"/>
        <w:tblCellMar>
          <w:left w:w="0" w:type="dxa"/>
          <w:right w:w="0" w:type="dxa"/>
        </w:tblCellMar>
        <w:tblLook w:val="04A0" w:firstRow="1" w:lastRow="0" w:firstColumn="1" w:lastColumn="0" w:noHBand="0" w:noVBand="1"/>
      </w:tblPr>
      <w:tblGrid>
        <w:gridCol w:w="1960"/>
        <w:gridCol w:w="2160"/>
      </w:tblGrid>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Burgenland</w:t>
            </w:r>
          </w:p>
        </w:tc>
        <w:tc>
          <w:tcPr>
            <w:tcW w:w="2160" w:type="dxa"/>
            <w:shd w:val="clear" w:color="auto" w:fill="F2F2F2"/>
            <w:noWrap/>
            <w:tcMar>
              <w:top w:w="0" w:type="dxa"/>
              <w:left w:w="70" w:type="dxa"/>
              <w:bottom w:w="0" w:type="dxa"/>
              <w:right w:w="70" w:type="dxa"/>
            </w:tcMar>
            <w:vAlign w:val="bottom"/>
            <w:hideMark/>
          </w:tcPr>
          <w:p w:rsidR="007C1E99" w:rsidRDefault="007C1E99">
            <w:pPr>
              <w:jc w:val="center"/>
              <w:rPr>
                <w:rFonts w:ascii="Calibri" w:eastAsiaTheme="minorHAnsi" w:hAnsi="Calibri" w:cs="Calibri"/>
                <w:color w:val="000000"/>
                <w:sz w:val="22"/>
                <w:szCs w:val="22"/>
                <w:lang w:eastAsia="de-AT"/>
              </w:rPr>
            </w:pPr>
            <w:r>
              <w:rPr>
                <w:color w:val="000000"/>
                <w:lang w:eastAsia="de-AT"/>
              </w:rPr>
              <w:t>30</w:t>
            </w:r>
          </w:p>
        </w:tc>
      </w:tr>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Kärnten</w:t>
            </w:r>
          </w:p>
        </w:tc>
        <w:tc>
          <w:tcPr>
            <w:tcW w:w="2160" w:type="dxa"/>
            <w:shd w:val="clear" w:color="auto" w:fill="F2F2F2"/>
            <w:noWrap/>
            <w:tcMar>
              <w:top w:w="0" w:type="dxa"/>
              <w:left w:w="70" w:type="dxa"/>
              <w:bottom w:w="0" w:type="dxa"/>
              <w:right w:w="70" w:type="dxa"/>
            </w:tcMar>
            <w:vAlign w:val="bottom"/>
            <w:hideMark/>
          </w:tcPr>
          <w:p w:rsidR="007C1E99" w:rsidRDefault="007C1E99">
            <w:pPr>
              <w:jc w:val="center"/>
              <w:rPr>
                <w:rFonts w:ascii="Calibri" w:eastAsiaTheme="minorHAnsi" w:hAnsi="Calibri" w:cs="Calibri"/>
                <w:color w:val="000000"/>
                <w:sz w:val="22"/>
                <w:szCs w:val="22"/>
                <w:lang w:eastAsia="de-AT"/>
              </w:rPr>
            </w:pPr>
            <w:r>
              <w:rPr>
                <w:color w:val="000000"/>
                <w:lang w:eastAsia="de-AT"/>
              </w:rPr>
              <w:t>117</w:t>
            </w:r>
          </w:p>
        </w:tc>
      </w:tr>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Niederösterreich</w:t>
            </w:r>
          </w:p>
        </w:tc>
        <w:tc>
          <w:tcPr>
            <w:tcW w:w="2160" w:type="dxa"/>
            <w:shd w:val="clear" w:color="auto" w:fill="F2F2F2"/>
            <w:noWrap/>
            <w:tcMar>
              <w:top w:w="0" w:type="dxa"/>
              <w:left w:w="70" w:type="dxa"/>
              <w:bottom w:w="0" w:type="dxa"/>
              <w:right w:w="70" w:type="dxa"/>
            </w:tcMar>
            <w:vAlign w:val="bottom"/>
            <w:hideMark/>
          </w:tcPr>
          <w:p w:rsidR="007C1E99" w:rsidRDefault="007C1E99">
            <w:pPr>
              <w:jc w:val="center"/>
              <w:rPr>
                <w:rFonts w:ascii="Calibri" w:eastAsiaTheme="minorHAnsi" w:hAnsi="Calibri" w:cs="Calibri"/>
                <w:color w:val="000000"/>
                <w:sz w:val="22"/>
                <w:szCs w:val="22"/>
                <w:lang w:eastAsia="de-AT"/>
              </w:rPr>
            </w:pPr>
            <w:r>
              <w:rPr>
                <w:color w:val="000000"/>
                <w:lang w:eastAsia="de-AT"/>
              </w:rPr>
              <w:t>246</w:t>
            </w:r>
          </w:p>
        </w:tc>
      </w:tr>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Oberösterreich</w:t>
            </w:r>
          </w:p>
        </w:tc>
        <w:tc>
          <w:tcPr>
            <w:tcW w:w="2160" w:type="dxa"/>
            <w:shd w:val="clear" w:color="auto" w:fill="F2F2F2"/>
            <w:noWrap/>
            <w:tcMar>
              <w:top w:w="0" w:type="dxa"/>
              <w:left w:w="70" w:type="dxa"/>
              <w:bottom w:w="0" w:type="dxa"/>
              <w:right w:w="70" w:type="dxa"/>
            </w:tcMar>
            <w:vAlign w:val="bottom"/>
            <w:hideMark/>
          </w:tcPr>
          <w:p w:rsidR="007C1E99" w:rsidRDefault="007C1E99">
            <w:pPr>
              <w:jc w:val="center"/>
              <w:rPr>
                <w:rFonts w:ascii="Calibri" w:eastAsiaTheme="minorHAnsi" w:hAnsi="Calibri" w:cs="Calibri"/>
                <w:color w:val="000000"/>
                <w:sz w:val="22"/>
                <w:szCs w:val="22"/>
                <w:lang w:eastAsia="de-AT"/>
              </w:rPr>
            </w:pPr>
            <w:r>
              <w:rPr>
                <w:color w:val="000000"/>
                <w:lang w:eastAsia="de-AT"/>
              </w:rPr>
              <w:t>211</w:t>
            </w:r>
          </w:p>
        </w:tc>
      </w:tr>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Salzburg</w:t>
            </w:r>
          </w:p>
        </w:tc>
        <w:tc>
          <w:tcPr>
            <w:tcW w:w="2160" w:type="dxa"/>
            <w:shd w:val="clear" w:color="auto" w:fill="F2F2F2"/>
            <w:noWrap/>
            <w:tcMar>
              <w:top w:w="0" w:type="dxa"/>
              <w:left w:w="70" w:type="dxa"/>
              <w:bottom w:w="0" w:type="dxa"/>
              <w:right w:w="70" w:type="dxa"/>
            </w:tcMar>
            <w:vAlign w:val="bottom"/>
            <w:hideMark/>
          </w:tcPr>
          <w:p w:rsidR="007C1E99" w:rsidRDefault="007C1E99">
            <w:pPr>
              <w:jc w:val="center"/>
              <w:rPr>
                <w:rFonts w:ascii="Calibri" w:eastAsiaTheme="minorHAnsi" w:hAnsi="Calibri" w:cs="Calibri"/>
                <w:color w:val="000000"/>
                <w:sz w:val="22"/>
                <w:szCs w:val="22"/>
                <w:lang w:eastAsia="de-AT"/>
              </w:rPr>
            </w:pPr>
            <w:r>
              <w:rPr>
                <w:color w:val="000000"/>
                <w:lang w:eastAsia="de-AT"/>
              </w:rPr>
              <w:t>68</w:t>
            </w:r>
          </w:p>
        </w:tc>
      </w:tr>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Steiermark</w:t>
            </w:r>
          </w:p>
        </w:tc>
        <w:tc>
          <w:tcPr>
            <w:tcW w:w="2160" w:type="dxa"/>
            <w:shd w:val="clear" w:color="auto" w:fill="F2F2F2"/>
            <w:noWrap/>
            <w:tcMar>
              <w:top w:w="0" w:type="dxa"/>
              <w:left w:w="70" w:type="dxa"/>
              <w:bottom w:w="0" w:type="dxa"/>
              <w:right w:w="70" w:type="dxa"/>
            </w:tcMar>
            <w:vAlign w:val="bottom"/>
            <w:hideMark/>
          </w:tcPr>
          <w:p w:rsidR="007C1E99" w:rsidRDefault="007C1E99">
            <w:pPr>
              <w:jc w:val="center"/>
              <w:rPr>
                <w:rFonts w:ascii="Calibri" w:eastAsiaTheme="minorHAnsi" w:hAnsi="Calibri" w:cs="Calibri"/>
                <w:color w:val="000000"/>
                <w:sz w:val="22"/>
                <w:szCs w:val="22"/>
                <w:lang w:eastAsia="de-AT"/>
              </w:rPr>
            </w:pPr>
            <w:r>
              <w:rPr>
                <w:color w:val="000000"/>
                <w:lang w:eastAsia="de-AT"/>
              </w:rPr>
              <w:t>203</w:t>
            </w:r>
          </w:p>
        </w:tc>
      </w:tr>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Tirol</w:t>
            </w:r>
          </w:p>
        </w:tc>
        <w:tc>
          <w:tcPr>
            <w:tcW w:w="2160" w:type="dxa"/>
            <w:shd w:val="clear" w:color="auto" w:fill="F2F2F2"/>
            <w:noWrap/>
            <w:tcMar>
              <w:top w:w="0" w:type="dxa"/>
              <w:left w:w="70" w:type="dxa"/>
              <w:bottom w:w="0" w:type="dxa"/>
              <w:right w:w="70" w:type="dxa"/>
            </w:tcMar>
            <w:vAlign w:val="bottom"/>
            <w:hideMark/>
          </w:tcPr>
          <w:p w:rsidR="007C1E99" w:rsidRDefault="007C1E99">
            <w:pPr>
              <w:jc w:val="center"/>
              <w:rPr>
                <w:rFonts w:ascii="Calibri" w:eastAsiaTheme="minorHAnsi" w:hAnsi="Calibri" w:cs="Calibri"/>
                <w:color w:val="000000"/>
                <w:sz w:val="22"/>
                <w:szCs w:val="22"/>
                <w:lang w:eastAsia="de-AT"/>
              </w:rPr>
            </w:pPr>
            <w:r>
              <w:rPr>
                <w:color w:val="000000"/>
                <w:lang w:eastAsia="de-AT"/>
              </w:rPr>
              <w:t>86</w:t>
            </w:r>
          </w:p>
        </w:tc>
      </w:tr>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Vorarlberg</w:t>
            </w:r>
          </w:p>
        </w:tc>
        <w:tc>
          <w:tcPr>
            <w:tcW w:w="2160" w:type="dxa"/>
            <w:shd w:val="clear" w:color="auto" w:fill="F2F2F2"/>
            <w:noWrap/>
            <w:tcMar>
              <w:top w:w="0" w:type="dxa"/>
              <w:left w:w="70" w:type="dxa"/>
              <w:bottom w:w="0" w:type="dxa"/>
              <w:right w:w="70" w:type="dxa"/>
            </w:tcMar>
            <w:vAlign w:val="bottom"/>
            <w:hideMark/>
          </w:tcPr>
          <w:p w:rsidR="007C1E99" w:rsidRDefault="007C1E99">
            <w:pPr>
              <w:jc w:val="center"/>
              <w:rPr>
                <w:rFonts w:ascii="Calibri" w:eastAsiaTheme="minorHAnsi" w:hAnsi="Calibri" w:cs="Calibri"/>
                <w:color w:val="000000"/>
                <w:sz w:val="22"/>
                <w:szCs w:val="22"/>
                <w:lang w:eastAsia="de-AT"/>
              </w:rPr>
            </w:pPr>
            <w:r>
              <w:rPr>
                <w:color w:val="000000"/>
                <w:lang w:eastAsia="de-AT"/>
              </w:rPr>
              <w:t>41</w:t>
            </w:r>
          </w:p>
        </w:tc>
      </w:tr>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Wien</w:t>
            </w:r>
          </w:p>
        </w:tc>
        <w:tc>
          <w:tcPr>
            <w:tcW w:w="2160" w:type="dxa"/>
            <w:shd w:val="clear" w:color="auto" w:fill="F2F2F2"/>
            <w:noWrap/>
            <w:tcMar>
              <w:top w:w="0" w:type="dxa"/>
              <w:left w:w="70" w:type="dxa"/>
              <w:bottom w:w="0" w:type="dxa"/>
              <w:right w:w="70" w:type="dxa"/>
            </w:tcMar>
            <w:vAlign w:val="bottom"/>
            <w:hideMark/>
          </w:tcPr>
          <w:p w:rsidR="007C1E99" w:rsidRDefault="007C1E99">
            <w:pPr>
              <w:jc w:val="center"/>
              <w:rPr>
                <w:rFonts w:ascii="Calibri" w:eastAsiaTheme="minorHAnsi" w:hAnsi="Calibri" w:cs="Calibri"/>
                <w:color w:val="000000"/>
                <w:sz w:val="22"/>
                <w:szCs w:val="22"/>
                <w:lang w:eastAsia="de-AT"/>
              </w:rPr>
            </w:pPr>
            <w:r>
              <w:rPr>
                <w:color w:val="000000"/>
                <w:lang w:eastAsia="de-AT"/>
              </w:rPr>
              <w:t>196</w:t>
            </w:r>
          </w:p>
        </w:tc>
      </w:tr>
      <w:tr w:rsidR="007C1E99" w:rsidTr="007C1E99">
        <w:trPr>
          <w:trHeight w:val="300"/>
        </w:trPr>
        <w:tc>
          <w:tcPr>
            <w:tcW w:w="1960" w:type="dxa"/>
            <w:shd w:val="clear" w:color="auto" w:fill="F2F2F2"/>
            <w:noWrap/>
            <w:tcMar>
              <w:top w:w="0" w:type="dxa"/>
              <w:left w:w="70" w:type="dxa"/>
              <w:bottom w:w="0" w:type="dxa"/>
              <w:right w:w="70" w:type="dxa"/>
            </w:tcMar>
            <w:vAlign w:val="bottom"/>
            <w:hideMark/>
          </w:tcPr>
          <w:p w:rsidR="007C1E99" w:rsidRDefault="007C1E99">
            <w:pPr>
              <w:rPr>
                <w:rFonts w:ascii="Calibri" w:eastAsiaTheme="minorHAnsi" w:hAnsi="Calibri" w:cs="Calibri"/>
                <w:color w:val="000000"/>
                <w:sz w:val="22"/>
                <w:szCs w:val="22"/>
                <w:lang w:eastAsia="de-AT"/>
              </w:rPr>
            </w:pPr>
            <w:r>
              <w:rPr>
                <w:color w:val="000000"/>
                <w:lang w:eastAsia="de-AT"/>
              </w:rPr>
              <w:t>Summe</w:t>
            </w:r>
          </w:p>
        </w:tc>
        <w:tc>
          <w:tcPr>
            <w:tcW w:w="2160" w:type="dxa"/>
            <w:noWrap/>
            <w:tcMar>
              <w:top w:w="0" w:type="dxa"/>
              <w:left w:w="70" w:type="dxa"/>
              <w:bottom w:w="0" w:type="dxa"/>
              <w:right w:w="70" w:type="dxa"/>
            </w:tcMar>
            <w:vAlign w:val="bottom"/>
            <w:hideMark/>
          </w:tcPr>
          <w:p w:rsidR="007C1E99" w:rsidRDefault="007C1E99">
            <w:pPr>
              <w:jc w:val="center"/>
              <w:rPr>
                <w:rFonts w:ascii="Calibri" w:eastAsiaTheme="minorHAnsi" w:hAnsi="Calibri" w:cs="Calibri"/>
                <w:b/>
                <w:bCs/>
                <w:color w:val="000000"/>
                <w:sz w:val="22"/>
                <w:szCs w:val="22"/>
                <w:lang w:eastAsia="de-AT"/>
              </w:rPr>
            </w:pPr>
            <w:r>
              <w:rPr>
                <w:b/>
                <w:bCs/>
                <w:color w:val="000000"/>
                <w:lang w:eastAsia="de-AT"/>
              </w:rPr>
              <w:t>1.198</w:t>
            </w:r>
          </w:p>
        </w:tc>
      </w:tr>
    </w:tbl>
    <w:p w:rsidR="007C1E99" w:rsidRDefault="007C1E99" w:rsidP="00B57D9F">
      <w:pPr>
        <w:spacing w:after="120" w:line="360" w:lineRule="auto"/>
        <w:contextualSpacing/>
        <w:rPr>
          <w:rFonts w:ascii="Arial" w:hAnsi="Arial" w:cs="Arial"/>
          <w:sz w:val="22"/>
          <w:szCs w:val="22"/>
          <w:lang w:val="de-AT"/>
        </w:rPr>
      </w:pPr>
    </w:p>
    <w:p w:rsidR="007C1E99" w:rsidRDefault="007C1E99" w:rsidP="00B57D9F">
      <w:pPr>
        <w:spacing w:after="120" w:line="360" w:lineRule="auto"/>
        <w:contextualSpacing/>
        <w:rPr>
          <w:rFonts w:ascii="Arial" w:hAnsi="Arial" w:cs="Arial"/>
          <w:sz w:val="22"/>
          <w:szCs w:val="22"/>
          <w:lang w:val="de-AT"/>
        </w:rPr>
      </w:pPr>
      <w:r>
        <w:rPr>
          <w:noProof/>
        </w:rPr>
        <w:drawing>
          <wp:inline distT="0" distB="0" distL="0" distR="0" wp14:anchorId="43C431C3" wp14:editId="58B5DA5C">
            <wp:extent cx="5830784" cy="3360717"/>
            <wp:effectExtent l="0" t="0" r="17780" b="11430"/>
            <wp:docPr id="5" name="Diagram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C1E99" w:rsidRDefault="007C1E99" w:rsidP="00B57D9F">
      <w:pPr>
        <w:spacing w:after="120" w:line="360" w:lineRule="auto"/>
        <w:contextualSpacing/>
        <w:rPr>
          <w:rFonts w:ascii="Arial" w:hAnsi="Arial" w:cs="Arial"/>
          <w:sz w:val="22"/>
          <w:szCs w:val="22"/>
          <w:lang w:val="de-AT"/>
        </w:rPr>
      </w:pPr>
      <w:r>
        <w:rPr>
          <w:rFonts w:ascii="Arial" w:hAnsi="Arial" w:cs="Arial"/>
          <w:sz w:val="22"/>
          <w:szCs w:val="22"/>
          <w:lang w:val="de-AT"/>
        </w:rPr>
        <w:t>Anzahl der Suizide in Oberösterreich pro Jahr</w:t>
      </w:r>
      <w:r w:rsidR="00AC752D">
        <w:rPr>
          <w:rFonts w:ascii="Arial" w:hAnsi="Arial" w:cs="Arial"/>
          <w:sz w:val="22"/>
          <w:szCs w:val="22"/>
          <w:lang w:val="de-AT"/>
        </w:rPr>
        <w:t xml:space="preserve"> (Statistik Austria)</w:t>
      </w:r>
    </w:p>
    <w:p w:rsidR="007C1E99" w:rsidRDefault="007C1E99" w:rsidP="00B57D9F">
      <w:pPr>
        <w:spacing w:after="120" w:line="360" w:lineRule="auto"/>
        <w:contextualSpacing/>
        <w:rPr>
          <w:rFonts w:ascii="Arial" w:hAnsi="Arial" w:cs="Arial"/>
          <w:sz w:val="22"/>
          <w:szCs w:val="22"/>
          <w:lang w:val="de-AT"/>
        </w:rPr>
      </w:pPr>
    </w:p>
    <w:p w:rsidR="00642CCB" w:rsidRDefault="00642CCB" w:rsidP="00B57D9F">
      <w:pPr>
        <w:spacing w:after="120" w:line="360" w:lineRule="auto"/>
        <w:contextualSpacing/>
        <w:rPr>
          <w:rFonts w:ascii="Arial" w:hAnsi="Arial" w:cs="Arial"/>
          <w:sz w:val="22"/>
          <w:szCs w:val="22"/>
          <w:lang w:val="de-AT"/>
        </w:rPr>
      </w:pPr>
    </w:p>
    <w:p w:rsidR="00707020" w:rsidRDefault="00707020" w:rsidP="00B57D9F">
      <w:pPr>
        <w:spacing w:after="120" w:line="360" w:lineRule="auto"/>
        <w:contextualSpacing/>
        <w:rPr>
          <w:rFonts w:ascii="Arial" w:hAnsi="Arial" w:cs="Arial"/>
          <w:sz w:val="22"/>
          <w:szCs w:val="22"/>
          <w:lang w:val="de-AT"/>
        </w:rPr>
      </w:pPr>
    </w:p>
    <w:p w:rsidR="00612364" w:rsidRPr="00612364" w:rsidRDefault="00642CCB" w:rsidP="00B57D9F">
      <w:pPr>
        <w:spacing w:after="120" w:line="360" w:lineRule="auto"/>
        <w:contextualSpacing/>
        <w:rPr>
          <w:rFonts w:ascii="Arial" w:hAnsi="Arial" w:cs="Arial"/>
          <w:sz w:val="22"/>
          <w:szCs w:val="22"/>
          <w:lang w:val="de-AT"/>
        </w:rPr>
      </w:pPr>
      <w:r>
        <w:rPr>
          <w:rFonts w:ascii="Arial" w:hAnsi="Arial" w:cs="Arial"/>
          <w:sz w:val="22"/>
          <w:szCs w:val="22"/>
          <w:lang w:val="de-AT"/>
        </w:rPr>
        <w:t>Entgegen der</w:t>
      </w:r>
      <w:r w:rsidR="00977B29">
        <w:rPr>
          <w:rFonts w:ascii="Arial" w:hAnsi="Arial" w:cs="Arial"/>
          <w:sz w:val="22"/>
          <w:szCs w:val="22"/>
          <w:lang w:val="de-AT"/>
        </w:rPr>
        <w:t xml:space="preserve"> häufigen</w:t>
      </w:r>
      <w:r>
        <w:rPr>
          <w:rFonts w:ascii="Arial" w:hAnsi="Arial" w:cs="Arial"/>
          <w:sz w:val="22"/>
          <w:szCs w:val="22"/>
          <w:lang w:val="de-AT"/>
        </w:rPr>
        <w:t xml:space="preserve"> Vermutung</w:t>
      </w:r>
      <w:r w:rsidR="00977B29">
        <w:rPr>
          <w:rFonts w:ascii="Arial" w:hAnsi="Arial" w:cs="Arial"/>
          <w:sz w:val="22"/>
          <w:szCs w:val="22"/>
          <w:lang w:val="de-AT"/>
        </w:rPr>
        <w:t>,</w:t>
      </w:r>
      <w:r>
        <w:rPr>
          <w:rFonts w:ascii="Arial" w:hAnsi="Arial" w:cs="Arial"/>
          <w:sz w:val="22"/>
          <w:szCs w:val="22"/>
          <w:lang w:val="de-AT"/>
        </w:rPr>
        <w:t xml:space="preserve"> haben Männer ein 3-fach höheres Suizidrisiko als Frauen. Ebenso stellen alte </w:t>
      </w:r>
      <w:r w:rsidR="004E03CD">
        <w:rPr>
          <w:rFonts w:ascii="Arial" w:hAnsi="Arial" w:cs="Arial"/>
          <w:sz w:val="22"/>
          <w:szCs w:val="22"/>
          <w:lang w:val="de-AT"/>
        </w:rPr>
        <w:t>Menschen</w:t>
      </w:r>
      <w:r>
        <w:rPr>
          <w:rFonts w:ascii="Arial" w:hAnsi="Arial" w:cs="Arial"/>
          <w:sz w:val="22"/>
          <w:szCs w:val="22"/>
          <w:lang w:val="de-AT"/>
        </w:rPr>
        <w:t xml:space="preserve"> über 65 Jahre eine Gruppe dar deren Risiko durch Suizid zu versterben etwa 5-fach höher ist als </w:t>
      </w:r>
      <w:r w:rsidR="004E03CD">
        <w:rPr>
          <w:rFonts w:ascii="Arial" w:hAnsi="Arial" w:cs="Arial"/>
          <w:sz w:val="22"/>
          <w:szCs w:val="22"/>
          <w:lang w:val="de-AT"/>
        </w:rPr>
        <w:t>jenes</w:t>
      </w:r>
      <w:r>
        <w:rPr>
          <w:rFonts w:ascii="Arial" w:hAnsi="Arial" w:cs="Arial"/>
          <w:sz w:val="22"/>
          <w:szCs w:val="22"/>
          <w:lang w:val="de-AT"/>
        </w:rPr>
        <w:t xml:space="preserve"> von jungen</w:t>
      </w:r>
      <w:r w:rsidR="004E03CD">
        <w:rPr>
          <w:rFonts w:ascii="Arial" w:hAnsi="Arial" w:cs="Arial"/>
          <w:sz w:val="22"/>
          <w:szCs w:val="22"/>
          <w:lang w:val="de-AT"/>
        </w:rPr>
        <w:t xml:space="preserve"> Menschen</w:t>
      </w:r>
      <w:r>
        <w:rPr>
          <w:rFonts w:ascii="Arial" w:hAnsi="Arial" w:cs="Arial"/>
          <w:sz w:val="22"/>
          <w:szCs w:val="22"/>
          <w:lang w:val="de-AT"/>
        </w:rPr>
        <w:t xml:space="preserve">. </w:t>
      </w:r>
      <w:r w:rsidR="004E03CD">
        <w:rPr>
          <w:rFonts w:ascii="Arial" w:hAnsi="Arial" w:cs="Arial"/>
          <w:sz w:val="22"/>
          <w:szCs w:val="22"/>
          <w:lang w:val="de-AT"/>
        </w:rPr>
        <w:t>Diese Verzerrung der gesellschaftlichen Wahrnehmung von Risikogruppen liegt vor allem an der Berichterstattung über jüngere Suizident</w:t>
      </w:r>
      <w:r w:rsidR="00707020">
        <w:rPr>
          <w:rFonts w:ascii="Arial" w:hAnsi="Arial" w:cs="Arial"/>
          <w:sz w:val="22"/>
          <w:szCs w:val="22"/>
          <w:lang w:val="de-AT"/>
        </w:rPr>
        <w:t>Inn</w:t>
      </w:r>
      <w:r w:rsidR="004E03CD">
        <w:rPr>
          <w:rFonts w:ascii="Arial" w:hAnsi="Arial" w:cs="Arial"/>
          <w:sz w:val="22"/>
          <w:szCs w:val="22"/>
          <w:lang w:val="de-AT"/>
        </w:rPr>
        <w:t xml:space="preserve">en, die zu ungewöhnlicheren und häufig aggressiveren Suizidmethoden tendieren und </w:t>
      </w:r>
      <w:r w:rsidR="00707020">
        <w:rPr>
          <w:rFonts w:ascii="Arial" w:hAnsi="Arial" w:cs="Arial"/>
          <w:sz w:val="22"/>
          <w:szCs w:val="22"/>
          <w:lang w:val="de-AT"/>
        </w:rPr>
        <w:t>daher stärker emotionalisiert werden</w:t>
      </w:r>
      <w:r w:rsidR="004E03CD">
        <w:rPr>
          <w:rFonts w:ascii="Arial" w:hAnsi="Arial" w:cs="Arial"/>
          <w:sz w:val="22"/>
          <w:szCs w:val="22"/>
          <w:lang w:val="de-AT"/>
        </w:rPr>
        <w:t xml:space="preserve">. </w:t>
      </w:r>
    </w:p>
    <w:p w:rsidR="00612364" w:rsidRDefault="00612364" w:rsidP="00B57D9F">
      <w:pPr>
        <w:spacing w:after="120" w:line="360" w:lineRule="auto"/>
        <w:contextualSpacing/>
        <w:rPr>
          <w:rFonts w:ascii="Arial" w:hAnsi="Arial" w:cs="Arial"/>
          <w:sz w:val="22"/>
          <w:szCs w:val="22"/>
          <w:lang w:val="de-AT"/>
        </w:rPr>
      </w:pPr>
    </w:p>
    <w:p w:rsidR="00707020" w:rsidRDefault="00707020" w:rsidP="00B57D9F">
      <w:pPr>
        <w:spacing w:after="120" w:line="360" w:lineRule="auto"/>
        <w:contextualSpacing/>
        <w:rPr>
          <w:rFonts w:ascii="Arial" w:hAnsi="Arial" w:cs="Arial"/>
          <w:sz w:val="22"/>
          <w:szCs w:val="22"/>
          <w:lang w:val="de-AT"/>
        </w:rPr>
      </w:pPr>
      <w:r>
        <w:rPr>
          <w:noProof/>
        </w:rPr>
        <w:drawing>
          <wp:inline distT="0" distB="0" distL="0" distR="0" wp14:anchorId="5D69BBE2" wp14:editId="3C59A392">
            <wp:extent cx="5784155" cy="3058511"/>
            <wp:effectExtent l="0" t="0" r="7620" b="889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98357" cy="3066021"/>
                    </a:xfrm>
                    <a:prstGeom prst="rect">
                      <a:avLst/>
                    </a:prstGeom>
                  </pic:spPr>
                </pic:pic>
              </a:graphicData>
            </a:graphic>
          </wp:inline>
        </w:drawing>
      </w:r>
    </w:p>
    <w:p w:rsidR="00707020" w:rsidRDefault="00707020" w:rsidP="00B57D9F">
      <w:pPr>
        <w:spacing w:after="120" w:line="360" w:lineRule="auto"/>
        <w:contextualSpacing/>
        <w:rPr>
          <w:rFonts w:ascii="Arial" w:hAnsi="Arial" w:cs="Arial"/>
          <w:sz w:val="22"/>
          <w:szCs w:val="22"/>
          <w:lang w:val="de-AT"/>
        </w:rPr>
      </w:pPr>
    </w:p>
    <w:p w:rsidR="00E41DB9" w:rsidRDefault="00707020" w:rsidP="00B57D9F">
      <w:pPr>
        <w:spacing w:after="120" w:line="360" w:lineRule="auto"/>
        <w:contextualSpacing/>
        <w:rPr>
          <w:rFonts w:ascii="Arial" w:hAnsi="Arial" w:cs="Arial"/>
          <w:sz w:val="22"/>
          <w:szCs w:val="22"/>
          <w:lang w:val="de-AT"/>
        </w:rPr>
      </w:pPr>
      <w:r>
        <w:rPr>
          <w:rFonts w:ascii="Arial" w:hAnsi="Arial" w:cs="Arial"/>
          <w:sz w:val="22"/>
          <w:szCs w:val="22"/>
          <w:lang w:val="de-AT"/>
        </w:rPr>
        <w:t xml:space="preserve">Es bestehen in Österreich </w:t>
      </w:r>
      <w:r w:rsidR="00E41DB9">
        <w:rPr>
          <w:rFonts w:ascii="Arial" w:hAnsi="Arial" w:cs="Arial"/>
          <w:sz w:val="22"/>
          <w:szCs w:val="22"/>
          <w:lang w:val="de-AT"/>
        </w:rPr>
        <w:t xml:space="preserve">auch </w:t>
      </w:r>
      <w:r>
        <w:rPr>
          <w:rFonts w:ascii="Arial" w:hAnsi="Arial" w:cs="Arial"/>
          <w:sz w:val="22"/>
          <w:szCs w:val="22"/>
          <w:lang w:val="de-AT"/>
        </w:rPr>
        <w:t>große regionale Unterschiede in der Suizidmortalität.</w:t>
      </w:r>
      <w:r w:rsidR="00E41DB9">
        <w:rPr>
          <w:rFonts w:ascii="Arial" w:hAnsi="Arial" w:cs="Arial"/>
          <w:sz w:val="22"/>
          <w:szCs w:val="22"/>
          <w:lang w:val="de-AT"/>
        </w:rPr>
        <w:t xml:space="preserve"> Die Steiermark und Kärnten haben trotz beträchtlicher Rückgänge weiterhin die höchsten Suizidraten (Grafik). Insbesondere einige Bezirke in der Steiermark erreichen Werte die mehr als doppelt so hoch sind wie in anderen Regionen (Grafik).</w:t>
      </w:r>
    </w:p>
    <w:p w:rsidR="00707020" w:rsidRDefault="00E41DB9" w:rsidP="00B57D9F">
      <w:pPr>
        <w:spacing w:after="120" w:line="360" w:lineRule="auto"/>
        <w:contextualSpacing/>
        <w:rPr>
          <w:rFonts w:ascii="Arial" w:hAnsi="Arial" w:cs="Arial"/>
          <w:sz w:val="22"/>
          <w:szCs w:val="22"/>
          <w:lang w:val="de-AT"/>
        </w:rPr>
      </w:pPr>
      <w:r>
        <w:rPr>
          <w:noProof/>
        </w:rPr>
        <w:drawing>
          <wp:inline distT="0" distB="0" distL="0" distR="0" wp14:anchorId="55E4E30B" wp14:editId="48E6F004">
            <wp:extent cx="5760720" cy="3552832"/>
            <wp:effectExtent l="0" t="0" r="0" b="0"/>
            <wp:docPr id="3" name="Diagram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707020">
        <w:rPr>
          <w:rFonts w:ascii="Arial" w:hAnsi="Arial" w:cs="Arial"/>
          <w:sz w:val="22"/>
          <w:szCs w:val="22"/>
          <w:lang w:val="de-AT"/>
        </w:rPr>
        <w:t xml:space="preserve"> </w:t>
      </w:r>
    </w:p>
    <w:p w:rsidR="00B57D9F" w:rsidRPr="00B57D9F" w:rsidRDefault="00B57D9F" w:rsidP="00B57D9F">
      <w:pPr>
        <w:spacing w:after="120" w:line="360" w:lineRule="auto"/>
        <w:contextualSpacing/>
        <w:rPr>
          <w:rFonts w:ascii="Arial" w:hAnsi="Arial" w:cs="Arial"/>
          <w:sz w:val="22"/>
          <w:szCs w:val="22"/>
          <w:lang w:val="de-AT"/>
        </w:rPr>
      </w:pPr>
      <w:r>
        <w:rPr>
          <w:rFonts w:ascii="Arial" w:hAnsi="Arial" w:cs="Arial"/>
          <w:sz w:val="22"/>
          <w:szCs w:val="22"/>
          <w:lang w:val="de-AT"/>
        </w:rPr>
        <w:t>Quelle: Suicide Research Group, Medizinische Universität Wien</w:t>
      </w:r>
    </w:p>
    <w:p w:rsidR="00E41DB9" w:rsidRDefault="00E41DB9" w:rsidP="00B57D9F">
      <w:pPr>
        <w:spacing w:after="120" w:line="360" w:lineRule="auto"/>
        <w:contextualSpacing/>
        <w:rPr>
          <w:rFonts w:ascii="Arial" w:hAnsi="Arial" w:cs="Arial"/>
          <w:i/>
          <w:sz w:val="22"/>
          <w:szCs w:val="22"/>
          <w:lang w:val="de-AT"/>
        </w:rPr>
      </w:pPr>
    </w:p>
    <w:p w:rsidR="00E41DB9" w:rsidRDefault="00E41DB9" w:rsidP="00B57D9F">
      <w:pPr>
        <w:spacing w:after="120" w:line="360" w:lineRule="auto"/>
        <w:contextualSpacing/>
        <w:rPr>
          <w:rFonts w:ascii="Arial" w:hAnsi="Arial" w:cs="Arial"/>
          <w:i/>
          <w:sz w:val="22"/>
          <w:szCs w:val="22"/>
          <w:lang w:val="de-AT"/>
        </w:rPr>
      </w:pPr>
    </w:p>
    <w:p w:rsidR="00977B29" w:rsidRDefault="00977B29" w:rsidP="00B57D9F">
      <w:pPr>
        <w:spacing w:after="120" w:line="360" w:lineRule="auto"/>
        <w:contextualSpacing/>
        <w:rPr>
          <w:rFonts w:ascii="Arial" w:hAnsi="Arial" w:cs="Arial"/>
          <w:sz w:val="22"/>
          <w:szCs w:val="22"/>
          <w:lang w:val="de-AT"/>
        </w:rPr>
      </w:pPr>
    </w:p>
    <w:p w:rsidR="00E41DB9" w:rsidRPr="00977B29" w:rsidRDefault="00E41DB9" w:rsidP="00977B29">
      <w:pPr>
        <w:spacing w:after="120" w:line="360" w:lineRule="auto"/>
        <w:contextualSpacing/>
        <w:jc w:val="center"/>
        <w:rPr>
          <w:rFonts w:ascii="Arial" w:hAnsi="Arial" w:cs="Arial"/>
          <w:b/>
          <w:i/>
          <w:sz w:val="22"/>
          <w:szCs w:val="22"/>
          <w:lang w:val="de-AT"/>
        </w:rPr>
      </w:pPr>
      <w:r w:rsidRPr="00977B29">
        <w:rPr>
          <w:rFonts w:ascii="Arial" w:hAnsi="Arial" w:cs="Arial"/>
          <w:b/>
          <w:sz w:val="22"/>
          <w:szCs w:val="22"/>
          <w:lang w:val="de-AT"/>
        </w:rPr>
        <w:t>Suizidraten pro 100.000 der Bezirksbevölkerung</w:t>
      </w:r>
      <w:r w:rsidR="00B57D9F" w:rsidRPr="00977B29">
        <w:rPr>
          <w:rFonts w:ascii="Arial" w:hAnsi="Arial" w:cs="Arial"/>
          <w:b/>
          <w:sz w:val="22"/>
          <w:szCs w:val="22"/>
          <w:lang w:val="de-AT"/>
        </w:rPr>
        <w:t xml:space="preserve"> 2008-2012</w:t>
      </w:r>
      <w:r w:rsidRPr="00977B29">
        <w:rPr>
          <w:rFonts w:ascii="Arial" w:hAnsi="Arial" w:cs="Arial"/>
          <w:b/>
          <w:sz w:val="22"/>
          <w:szCs w:val="22"/>
          <w:lang w:val="de-AT"/>
        </w:rPr>
        <w:t>:</w:t>
      </w:r>
    </w:p>
    <w:p w:rsidR="00E41DB9" w:rsidRPr="00E41DB9" w:rsidRDefault="00E41DB9" w:rsidP="00B57D9F">
      <w:pPr>
        <w:spacing w:after="120" w:line="360" w:lineRule="auto"/>
        <w:contextualSpacing/>
        <w:rPr>
          <w:rFonts w:ascii="Arial" w:hAnsi="Arial" w:cs="Arial"/>
          <w:i/>
          <w:sz w:val="22"/>
          <w:szCs w:val="22"/>
          <w:lang w:val="de-AT"/>
        </w:rPr>
      </w:pPr>
      <w:r>
        <w:rPr>
          <w:rFonts w:ascii="Arial" w:hAnsi="Arial" w:cs="Arial"/>
          <w:i/>
          <w:noProof/>
          <w:sz w:val="22"/>
          <w:szCs w:val="22"/>
        </w:rPr>
        <w:drawing>
          <wp:inline distT="0" distB="0" distL="0" distR="0" wp14:anchorId="5E92AD2E" wp14:editId="3C0AB4D9">
            <wp:extent cx="5756911" cy="2838091"/>
            <wp:effectExtent l="0" t="0" r="0" b="63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13421"/>
                    <a:stretch/>
                  </pic:blipFill>
                  <pic:spPr bwMode="auto">
                    <a:xfrm>
                      <a:off x="0" y="0"/>
                      <a:ext cx="5760720" cy="2839969"/>
                    </a:xfrm>
                    <a:prstGeom prst="rect">
                      <a:avLst/>
                    </a:prstGeom>
                    <a:noFill/>
                    <a:ln>
                      <a:noFill/>
                    </a:ln>
                    <a:extLst>
                      <a:ext uri="{53640926-AAD7-44D8-BBD7-CCE9431645EC}">
                        <a14:shadowObscured xmlns:a14="http://schemas.microsoft.com/office/drawing/2010/main"/>
                      </a:ext>
                    </a:extLst>
                  </pic:spPr>
                </pic:pic>
              </a:graphicData>
            </a:graphic>
          </wp:inline>
        </w:drawing>
      </w:r>
    </w:p>
    <w:p w:rsidR="00B57D9F" w:rsidRPr="00B57D9F" w:rsidRDefault="00B57D9F" w:rsidP="00B57D9F">
      <w:pPr>
        <w:spacing w:after="120" w:line="360" w:lineRule="auto"/>
        <w:contextualSpacing/>
        <w:rPr>
          <w:rFonts w:ascii="Arial" w:hAnsi="Arial" w:cs="Arial"/>
          <w:sz w:val="22"/>
          <w:szCs w:val="22"/>
          <w:lang w:val="de-AT"/>
        </w:rPr>
      </w:pPr>
      <w:r>
        <w:rPr>
          <w:rFonts w:ascii="Arial" w:hAnsi="Arial" w:cs="Arial"/>
          <w:sz w:val="22"/>
          <w:szCs w:val="22"/>
          <w:lang w:val="de-AT"/>
        </w:rPr>
        <w:t>Quelle: Suicide Research Group, Medizinische Universität Wien</w:t>
      </w:r>
    </w:p>
    <w:p w:rsidR="00B57D9F" w:rsidRPr="00B57D9F" w:rsidRDefault="00B57D9F" w:rsidP="00B57D9F">
      <w:pPr>
        <w:spacing w:after="120" w:line="360" w:lineRule="auto"/>
        <w:contextualSpacing/>
        <w:rPr>
          <w:rFonts w:ascii="Arial" w:hAnsi="Arial" w:cs="Arial"/>
          <w:sz w:val="22"/>
          <w:szCs w:val="22"/>
          <w:lang w:val="de-AT"/>
        </w:rPr>
      </w:pPr>
    </w:p>
    <w:p w:rsidR="00DD4E26" w:rsidRDefault="00DD4E26" w:rsidP="00B57D9F">
      <w:pPr>
        <w:spacing w:after="120" w:line="360" w:lineRule="auto"/>
        <w:contextualSpacing/>
        <w:rPr>
          <w:rFonts w:ascii="Arial" w:hAnsi="Arial" w:cs="Arial"/>
          <w:sz w:val="22"/>
          <w:szCs w:val="22"/>
          <w:lang w:val="de-AT"/>
        </w:rPr>
      </w:pPr>
      <w:r>
        <w:rPr>
          <w:rFonts w:ascii="Arial" w:hAnsi="Arial" w:cs="Arial"/>
          <w:sz w:val="22"/>
          <w:szCs w:val="22"/>
          <w:lang w:val="de-AT"/>
        </w:rPr>
        <w:t xml:space="preserve">Die Ursachen für Suizide sind vielfältig und reichen von psychischen über kulturelle bis hin zu sozialen Faktoren. Diese sind auch miteinander eng verbunden. Beispielsweise zeigt sich seit Ausbruch der Wirtschaftskrise in vielen Ländern ein Anstieg von Suizidraten. Diese sind </w:t>
      </w:r>
      <w:r w:rsidR="006A3C98">
        <w:rPr>
          <w:rFonts w:ascii="Arial" w:hAnsi="Arial" w:cs="Arial"/>
          <w:sz w:val="22"/>
          <w:szCs w:val="22"/>
          <w:lang w:val="de-AT"/>
        </w:rPr>
        <w:t>meist</w:t>
      </w:r>
      <w:r>
        <w:rPr>
          <w:rFonts w:ascii="Arial" w:hAnsi="Arial" w:cs="Arial"/>
          <w:sz w:val="22"/>
          <w:szCs w:val="22"/>
          <w:lang w:val="de-AT"/>
        </w:rPr>
        <w:t xml:space="preserve"> durch die steigende Arbeitslosigkeit und die damit verbundenen psychischen Erkrankungen bedingt, andererseits wird in </w:t>
      </w:r>
      <w:r w:rsidR="003E2640">
        <w:rPr>
          <w:rFonts w:ascii="Arial" w:hAnsi="Arial" w:cs="Arial"/>
          <w:sz w:val="22"/>
          <w:szCs w:val="22"/>
          <w:lang w:val="de-AT"/>
        </w:rPr>
        <w:t xml:space="preserve">wirtschaftlichen </w:t>
      </w:r>
      <w:r>
        <w:rPr>
          <w:rFonts w:ascii="Arial" w:hAnsi="Arial" w:cs="Arial"/>
          <w:sz w:val="22"/>
          <w:szCs w:val="22"/>
          <w:lang w:val="de-AT"/>
        </w:rPr>
        <w:t>Krisenzeiten häufig</w:t>
      </w:r>
      <w:r w:rsidR="003E2640">
        <w:rPr>
          <w:rFonts w:ascii="Arial" w:hAnsi="Arial" w:cs="Arial"/>
          <w:sz w:val="22"/>
          <w:szCs w:val="22"/>
          <w:lang w:val="de-AT"/>
        </w:rPr>
        <w:t xml:space="preserve"> auch</w:t>
      </w:r>
      <w:r>
        <w:rPr>
          <w:rFonts w:ascii="Arial" w:hAnsi="Arial" w:cs="Arial"/>
          <w:sz w:val="22"/>
          <w:szCs w:val="22"/>
          <w:lang w:val="de-AT"/>
        </w:rPr>
        <w:t xml:space="preserve"> im Gesundheitssystem gespart. Es ist jedoch gerade in Krisenzeiten notwendig soziale Leistungen und psychische </w:t>
      </w:r>
      <w:r w:rsidR="006A3C98">
        <w:rPr>
          <w:rFonts w:ascii="Arial" w:hAnsi="Arial" w:cs="Arial"/>
          <w:sz w:val="22"/>
          <w:szCs w:val="22"/>
          <w:lang w:val="de-AT"/>
        </w:rPr>
        <w:t>Behandlungsangebote</w:t>
      </w:r>
      <w:r>
        <w:rPr>
          <w:rFonts w:ascii="Arial" w:hAnsi="Arial" w:cs="Arial"/>
          <w:sz w:val="22"/>
          <w:szCs w:val="22"/>
          <w:lang w:val="de-AT"/>
        </w:rPr>
        <w:t xml:space="preserve"> auszubauen</w:t>
      </w:r>
      <w:r w:rsidR="003E2640">
        <w:rPr>
          <w:rFonts w:ascii="Arial" w:hAnsi="Arial" w:cs="Arial"/>
          <w:sz w:val="22"/>
          <w:szCs w:val="22"/>
          <w:lang w:val="de-AT"/>
        </w:rPr>
        <w:t xml:space="preserve"> um </w:t>
      </w:r>
      <w:r w:rsidR="006A3C98">
        <w:rPr>
          <w:rFonts w:ascii="Arial" w:hAnsi="Arial" w:cs="Arial"/>
          <w:sz w:val="22"/>
          <w:szCs w:val="22"/>
          <w:lang w:val="de-AT"/>
        </w:rPr>
        <w:t xml:space="preserve">insbesondere </w:t>
      </w:r>
      <w:r w:rsidR="003E2640">
        <w:rPr>
          <w:rFonts w:ascii="Arial" w:hAnsi="Arial" w:cs="Arial"/>
          <w:sz w:val="22"/>
          <w:szCs w:val="22"/>
          <w:lang w:val="de-AT"/>
        </w:rPr>
        <w:t xml:space="preserve">jenen Menschen zu helfen, die von der Krise </w:t>
      </w:r>
      <w:r w:rsidR="006A3C98">
        <w:rPr>
          <w:rFonts w:ascii="Arial" w:hAnsi="Arial" w:cs="Arial"/>
          <w:sz w:val="22"/>
          <w:szCs w:val="22"/>
          <w:lang w:val="de-AT"/>
        </w:rPr>
        <w:t xml:space="preserve">zusätzlich </w:t>
      </w:r>
      <w:r w:rsidR="003E2640">
        <w:rPr>
          <w:rFonts w:ascii="Arial" w:hAnsi="Arial" w:cs="Arial"/>
          <w:sz w:val="22"/>
          <w:szCs w:val="22"/>
          <w:lang w:val="de-AT"/>
        </w:rPr>
        <w:t>betroffen sind</w:t>
      </w:r>
      <w:r>
        <w:rPr>
          <w:rFonts w:ascii="Arial" w:hAnsi="Arial" w:cs="Arial"/>
          <w:sz w:val="22"/>
          <w:szCs w:val="22"/>
          <w:lang w:val="de-AT"/>
        </w:rPr>
        <w:t xml:space="preserve">. </w:t>
      </w:r>
      <w:r w:rsidR="006A3C98">
        <w:rPr>
          <w:rFonts w:ascii="Arial" w:hAnsi="Arial" w:cs="Arial"/>
          <w:sz w:val="22"/>
          <w:szCs w:val="22"/>
          <w:lang w:val="de-AT"/>
        </w:rPr>
        <w:t xml:space="preserve">Untersuchungen belegen dass die Zunahmen von Suizidraten </w:t>
      </w:r>
      <w:r w:rsidR="00977B29">
        <w:rPr>
          <w:rFonts w:ascii="Arial" w:hAnsi="Arial" w:cs="Arial"/>
          <w:sz w:val="22"/>
          <w:szCs w:val="22"/>
          <w:lang w:val="de-AT"/>
        </w:rPr>
        <w:t xml:space="preserve">in der Krise </w:t>
      </w:r>
      <w:r w:rsidR="006A3C98">
        <w:rPr>
          <w:rFonts w:ascii="Arial" w:hAnsi="Arial" w:cs="Arial"/>
          <w:sz w:val="22"/>
          <w:szCs w:val="22"/>
          <w:lang w:val="de-AT"/>
        </w:rPr>
        <w:t xml:space="preserve">in jenen </w:t>
      </w:r>
      <w:r w:rsidR="00977B29">
        <w:rPr>
          <w:rFonts w:ascii="Arial" w:hAnsi="Arial" w:cs="Arial"/>
          <w:sz w:val="22"/>
          <w:szCs w:val="22"/>
          <w:lang w:val="de-AT"/>
        </w:rPr>
        <w:t xml:space="preserve">europäischen </w:t>
      </w:r>
      <w:r w:rsidR="006A3C98">
        <w:rPr>
          <w:rFonts w:ascii="Arial" w:hAnsi="Arial" w:cs="Arial"/>
          <w:sz w:val="22"/>
          <w:szCs w:val="22"/>
          <w:lang w:val="de-AT"/>
        </w:rPr>
        <w:t xml:space="preserve">Ländern am stärksten waren, in denen die geringsten sozialen Ausgaben verzeichnet werden. </w:t>
      </w:r>
      <w:r>
        <w:rPr>
          <w:rFonts w:ascii="Arial" w:hAnsi="Arial" w:cs="Arial"/>
          <w:sz w:val="22"/>
          <w:szCs w:val="22"/>
          <w:lang w:val="de-AT"/>
        </w:rPr>
        <w:t xml:space="preserve">In Österreich kam es zwar </w:t>
      </w:r>
      <w:r w:rsidR="006A3C98">
        <w:rPr>
          <w:rFonts w:ascii="Arial" w:hAnsi="Arial" w:cs="Arial"/>
          <w:sz w:val="22"/>
          <w:szCs w:val="22"/>
          <w:lang w:val="de-AT"/>
        </w:rPr>
        <w:t xml:space="preserve">während der Krise </w:t>
      </w:r>
      <w:r>
        <w:rPr>
          <w:rFonts w:ascii="Arial" w:hAnsi="Arial" w:cs="Arial"/>
          <w:sz w:val="22"/>
          <w:szCs w:val="22"/>
          <w:lang w:val="de-AT"/>
        </w:rPr>
        <w:t xml:space="preserve">zu </w:t>
      </w:r>
      <w:r w:rsidR="006A3C98">
        <w:rPr>
          <w:rFonts w:ascii="Arial" w:hAnsi="Arial" w:cs="Arial"/>
          <w:sz w:val="22"/>
          <w:szCs w:val="22"/>
          <w:lang w:val="de-AT"/>
        </w:rPr>
        <w:t>k</w:t>
      </w:r>
      <w:r>
        <w:rPr>
          <w:rFonts w:ascii="Arial" w:hAnsi="Arial" w:cs="Arial"/>
          <w:sz w:val="22"/>
          <w:szCs w:val="22"/>
          <w:lang w:val="de-AT"/>
        </w:rPr>
        <w:t>einer Zunahme der Suizidraten, jedoch zu einem Plateau</w:t>
      </w:r>
      <w:r w:rsidR="003E2640">
        <w:rPr>
          <w:rFonts w:ascii="Arial" w:hAnsi="Arial" w:cs="Arial"/>
          <w:sz w:val="22"/>
          <w:szCs w:val="22"/>
          <w:lang w:val="de-AT"/>
        </w:rPr>
        <w:t xml:space="preserve"> in den vergangenen 5 Jahren</w:t>
      </w:r>
      <w:r>
        <w:rPr>
          <w:rFonts w:ascii="Arial" w:hAnsi="Arial" w:cs="Arial"/>
          <w:sz w:val="22"/>
          <w:szCs w:val="22"/>
          <w:lang w:val="de-AT"/>
        </w:rPr>
        <w:t xml:space="preserve">, also zu </w:t>
      </w:r>
      <w:r w:rsidR="006A3C98">
        <w:rPr>
          <w:rFonts w:ascii="Arial" w:hAnsi="Arial" w:cs="Arial"/>
          <w:sz w:val="22"/>
          <w:szCs w:val="22"/>
          <w:lang w:val="de-AT"/>
        </w:rPr>
        <w:t>einer Stagnation des</w:t>
      </w:r>
      <w:r>
        <w:rPr>
          <w:rFonts w:ascii="Arial" w:hAnsi="Arial" w:cs="Arial"/>
          <w:sz w:val="22"/>
          <w:szCs w:val="22"/>
          <w:lang w:val="de-AT"/>
        </w:rPr>
        <w:t xml:space="preserve"> Rückgang</w:t>
      </w:r>
      <w:r w:rsidR="006A3C98">
        <w:rPr>
          <w:rFonts w:ascii="Arial" w:hAnsi="Arial" w:cs="Arial"/>
          <w:sz w:val="22"/>
          <w:szCs w:val="22"/>
          <w:lang w:val="de-AT"/>
        </w:rPr>
        <w:t>s</w:t>
      </w:r>
      <w:r>
        <w:rPr>
          <w:rFonts w:ascii="Arial" w:hAnsi="Arial" w:cs="Arial"/>
          <w:sz w:val="22"/>
          <w:szCs w:val="22"/>
          <w:lang w:val="de-AT"/>
        </w:rPr>
        <w:t xml:space="preserve">. </w:t>
      </w:r>
    </w:p>
    <w:p w:rsidR="00DD4E26" w:rsidRDefault="00DD4E26" w:rsidP="00B57D9F">
      <w:pPr>
        <w:spacing w:after="120" w:line="360" w:lineRule="auto"/>
        <w:contextualSpacing/>
        <w:rPr>
          <w:rFonts w:ascii="Arial" w:hAnsi="Arial" w:cs="Arial"/>
          <w:sz w:val="22"/>
          <w:szCs w:val="22"/>
          <w:lang w:val="de-AT"/>
        </w:rPr>
      </w:pPr>
    </w:p>
    <w:p w:rsidR="00B57D9F" w:rsidRDefault="00DD4E26" w:rsidP="00B57D9F">
      <w:pPr>
        <w:spacing w:after="120" w:line="360" w:lineRule="auto"/>
        <w:contextualSpacing/>
        <w:rPr>
          <w:rFonts w:ascii="Arial" w:hAnsi="Arial" w:cs="Arial"/>
          <w:sz w:val="22"/>
          <w:szCs w:val="22"/>
          <w:lang w:val="de-AT"/>
        </w:rPr>
      </w:pPr>
      <w:r>
        <w:rPr>
          <w:rFonts w:ascii="Arial" w:hAnsi="Arial" w:cs="Arial"/>
          <w:sz w:val="22"/>
          <w:szCs w:val="22"/>
          <w:lang w:val="de-AT"/>
        </w:rPr>
        <w:t xml:space="preserve">Die Etablierung eines Nationalen Suizidpräventionsprogramms </w:t>
      </w:r>
      <w:r w:rsidR="003E2640">
        <w:rPr>
          <w:rFonts w:ascii="Arial" w:hAnsi="Arial" w:cs="Arial"/>
          <w:sz w:val="22"/>
          <w:szCs w:val="22"/>
          <w:lang w:val="de-AT"/>
        </w:rPr>
        <w:t xml:space="preserve">(SUPRA) </w:t>
      </w:r>
      <w:r>
        <w:rPr>
          <w:rFonts w:ascii="Arial" w:hAnsi="Arial" w:cs="Arial"/>
          <w:sz w:val="22"/>
          <w:szCs w:val="22"/>
          <w:lang w:val="de-AT"/>
        </w:rPr>
        <w:t xml:space="preserve">durch das Gesundheitsministerium in Österreich stellt daher eine wichtige und rechtzeitige </w:t>
      </w:r>
      <w:r w:rsidR="00977B29">
        <w:rPr>
          <w:rFonts w:ascii="Arial" w:hAnsi="Arial" w:cs="Arial"/>
          <w:sz w:val="22"/>
          <w:szCs w:val="22"/>
          <w:lang w:val="de-AT"/>
        </w:rPr>
        <w:t>Entscheidung</w:t>
      </w:r>
      <w:r>
        <w:rPr>
          <w:rFonts w:ascii="Arial" w:hAnsi="Arial" w:cs="Arial"/>
          <w:sz w:val="22"/>
          <w:szCs w:val="22"/>
          <w:lang w:val="de-AT"/>
        </w:rPr>
        <w:t xml:space="preserve"> dar. </w:t>
      </w:r>
      <w:r w:rsidR="003E2640">
        <w:rPr>
          <w:rFonts w:ascii="Arial" w:hAnsi="Arial" w:cs="Arial"/>
          <w:sz w:val="22"/>
          <w:szCs w:val="22"/>
          <w:lang w:val="de-AT"/>
        </w:rPr>
        <w:t xml:space="preserve">Die </w:t>
      </w:r>
      <w:r w:rsidR="00977B29">
        <w:rPr>
          <w:rFonts w:ascii="Arial" w:hAnsi="Arial" w:cs="Arial"/>
          <w:sz w:val="22"/>
          <w:szCs w:val="22"/>
          <w:lang w:val="de-AT"/>
        </w:rPr>
        <w:t>Prävention von Suiziden</w:t>
      </w:r>
      <w:r>
        <w:rPr>
          <w:rFonts w:ascii="Arial" w:hAnsi="Arial" w:cs="Arial"/>
          <w:sz w:val="22"/>
          <w:szCs w:val="22"/>
          <w:lang w:val="de-AT"/>
        </w:rPr>
        <w:t xml:space="preserve"> hängt nun von der Finanzierung </w:t>
      </w:r>
      <w:r w:rsidR="003E2640">
        <w:rPr>
          <w:rFonts w:ascii="Arial" w:hAnsi="Arial" w:cs="Arial"/>
          <w:sz w:val="22"/>
          <w:szCs w:val="22"/>
          <w:lang w:val="de-AT"/>
        </w:rPr>
        <w:t xml:space="preserve">und Umsetzung </w:t>
      </w:r>
      <w:r>
        <w:rPr>
          <w:rFonts w:ascii="Arial" w:hAnsi="Arial" w:cs="Arial"/>
          <w:sz w:val="22"/>
          <w:szCs w:val="22"/>
          <w:lang w:val="de-AT"/>
        </w:rPr>
        <w:t>der Maßnahmen durch alle beteiligten Stake</w:t>
      </w:r>
      <w:r w:rsidR="003E2640">
        <w:rPr>
          <w:rFonts w:ascii="Arial" w:hAnsi="Arial" w:cs="Arial"/>
          <w:sz w:val="22"/>
          <w:szCs w:val="22"/>
          <w:lang w:val="de-AT"/>
        </w:rPr>
        <w:t xml:space="preserve">holder ab. Zu den notwendigen Maßnahmen zählen in erster Linie die Schulung von Gatekeepern in der Erkennung von Suizidalität und psychischen Erkrankungen und die Verfügbarmachung von psychosozialen Behandlungsangeboten. Es ist bekannt, dass in 70-90% </w:t>
      </w:r>
      <w:r w:rsidR="006A3C98">
        <w:rPr>
          <w:rFonts w:ascii="Arial" w:hAnsi="Arial" w:cs="Arial"/>
          <w:sz w:val="22"/>
          <w:szCs w:val="22"/>
          <w:lang w:val="de-AT"/>
        </w:rPr>
        <w:t xml:space="preserve">aller Suizide als Ursache eine </w:t>
      </w:r>
      <w:r w:rsidR="003E2640">
        <w:rPr>
          <w:rFonts w:ascii="Arial" w:hAnsi="Arial" w:cs="Arial"/>
          <w:sz w:val="22"/>
          <w:szCs w:val="22"/>
          <w:lang w:val="de-AT"/>
        </w:rPr>
        <w:t xml:space="preserve">psychische Erkrankung </w:t>
      </w:r>
      <w:r w:rsidR="006A3C98">
        <w:rPr>
          <w:rFonts w:ascii="Arial" w:hAnsi="Arial" w:cs="Arial"/>
          <w:sz w:val="22"/>
          <w:szCs w:val="22"/>
          <w:lang w:val="de-AT"/>
        </w:rPr>
        <w:t>ver</w:t>
      </w:r>
      <w:r w:rsidR="003E2640">
        <w:rPr>
          <w:rFonts w:ascii="Arial" w:hAnsi="Arial" w:cs="Arial"/>
          <w:sz w:val="22"/>
          <w:szCs w:val="22"/>
          <w:lang w:val="de-AT"/>
        </w:rPr>
        <w:t>antwortlich war</w:t>
      </w:r>
      <w:r w:rsidR="006A3C98">
        <w:rPr>
          <w:rFonts w:ascii="Arial" w:hAnsi="Arial" w:cs="Arial"/>
          <w:sz w:val="22"/>
          <w:szCs w:val="22"/>
          <w:lang w:val="de-AT"/>
        </w:rPr>
        <w:t>, in den meisten Fällen handelt es sich um depressive Erkrankungen</w:t>
      </w:r>
      <w:r w:rsidR="003E2640">
        <w:rPr>
          <w:rFonts w:ascii="Arial" w:hAnsi="Arial" w:cs="Arial"/>
          <w:sz w:val="22"/>
          <w:szCs w:val="22"/>
          <w:lang w:val="de-AT"/>
        </w:rPr>
        <w:t xml:space="preserve">. Es ist insofern sekundär, ob diese psychischen Erkrankungen durch Arbeitsplatzverlust, soziale Vereinsamung, finanzielle Engpässe oder andere </w:t>
      </w:r>
      <w:r w:rsidR="00977B29">
        <w:rPr>
          <w:rFonts w:ascii="Arial" w:hAnsi="Arial" w:cs="Arial"/>
          <w:sz w:val="22"/>
          <w:szCs w:val="22"/>
          <w:lang w:val="de-AT"/>
        </w:rPr>
        <w:t xml:space="preserve">psychosoziale </w:t>
      </w:r>
      <w:r w:rsidR="003E2640">
        <w:rPr>
          <w:rFonts w:ascii="Arial" w:hAnsi="Arial" w:cs="Arial"/>
          <w:sz w:val="22"/>
          <w:szCs w:val="22"/>
          <w:lang w:val="de-AT"/>
        </w:rPr>
        <w:t xml:space="preserve">Krisen ausgelöst </w:t>
      </w:r>
      <w:r w:rsidR="006A3C98">
        <w:rPr>
          <w:rFonts w:ascii="Arial" w:hAnsi="Arial" w:cs="Arial"/>
          <w:sz w:val="22"/>
          <w:szCs w:val="22"/>
          <w:lang w:val="de-AT"/>
        </w:rPr>
        <w:t>werden</w:t>
      </w:r>
      <w:r w:rsidR="003E2640">
        <w:rPr>
          <w:rFonts w:ascii="Arial" w:hAnsi="Arial" w:cs="Arial"/>
          <w:sz w:val="22"/>
          <w:szCs w:val="22"/>
          <w:lang w:val="de-AT"/>
        </w:rPr>
        <w:t xml:space="preserve">. Allen Ursachen ist gemeinsam, dass sie auf gesellschaftlicher Ebene durch </w:t>
      </w:r>
      <w:r w:rsidR="00977B29">
        <w:rPr>
          <w:rFonts w:ascii="Arial" w:hAnsi="Arial" w:cs="Arial"/>
          <w:sz w:val="22"/>
          <w:szCs w:val="22"/>
          <w:lang w:val="de-AT"/>
        </w:rPr>
        <w:t>gesundheitspolitische</w:t>
      </w:r>
      <w:r w:rsidR="006A3C98">
        <w:rPr>
          <w:rFonts w:ascii="Arial" w:hAnsi="Arial" w:cs="Arial"/>
          <w:sz w:val="22"/>
          <w:szCs w:val="22"/>
          <w:lang w:val="de-AT"/>
        </w:rPr>
        <w:t xml:space="preserve"> </w:t>
      </w:r>
      <w:r w:rsidR="003E2640">
        <w:rPr>
          <w:rFonts w:ascii="Arial" w:hAnsi="Arial" w:cs="Arial"/>
          <w:sz w:val="22"/>
          <w:szCs w:val="22"/>
          <w:lang w:val="de-AT"/>
        </w:rPr>
        <w:t xml:space="preserve">Gegenmaßnahmen abgemildert werden </w:t>
      </w:r>
      <w:r w:rsidR="006A3C98">
        <w:rPr>
          <w:rFonts w:ascii="Arial" w:hAnsi="Arial" w:cs="Arial"/>
          <w:sz w:val="22"/>
          <w:szCs w:val="22"/>
          <w:lang w:val="de-AT"/>
        </w:rPr>
        <w:t>sollten</w:t>
      </w:r>
      <w:r w:rsidR="003E2640">
        <w:rPr>
          <w:rFonts w:ascii="Arial" w:hAnsi="Arial" w:cs="Arial"/>
          <w:sz w:val="22"/>
          <w:szCs w:val="22"/>
          <w:lang w:val="de-AT"/>
        </w:rPr>
        <w:t xml:space="preserve">, </w:t>
      </w:r>
      <w:r w:rsidR="006A3C98">
        <w:rPr>
          <w:rFonts w:ascii="Arial" w:hAnsi="Arial" w:cs="Arial"/>
          <w:sz w:val="22"/>
          <w:szCs w:val="22"/>
          <w:lang w:val="de-AT"/>
        </w:rPr>
        <w:t>und im individuellen Fall durch psychiatrisch</w:t>
      </w:r>
      <w:r w:rsidR="00977B29">
        <w:rPr>
          <w:rFonts w:ascii="Arial" w:hAnsi="Arial" w:cs="Arial"/>
          <w:sz w:val="22"/>
          <w:szCs w:val="22"/>
          <w:lang w:val="de-AT"/>
        </w:rPr>
        <w:t xml:space="preserve">e </w:t>
      </w:r>
      <w:r w:rsidR="006A3C98">
        <w:rPr>
          <w:rFonts w:ascii="Arial" w:hAnsi="Arial" w:cs="Arial"/>
          <w:sz w:val="22"/>
          <w:szCs w:val="22"/>
          <w:lang w:val="de-AT"/>
        </w:rPr>
        <w:t xml:space="preserve">medikamentöse und psychotherapeutische </w:t>
      </w:r>
      <w:r w:rsidR="00FC0BE0">
        <w:rPr>
          <w:rFonts w:ascii="Arial" w:hAnsi="Arial" w:cs="Arial"/>
          <w:sz w:val="22"/>
          <w:szCs w:val="22"/>
          <w:lang w:val="de-AT"/>
        </w:rPr>
        <w:t xml:space="preserve">und psychologische </w:t>
      </w:r>
      <w:r w:rsidR="006A3C98">
        <w:rPr>
          <w:rFonts w:ascii="Arial" w:hAnsi="Arial" w:cs="Arial"/>
          <w:sz w:val="22"/>
          <w:szCs w:val="22"/>
          <w:lang w:val="de-AT"/>
        </w:rPr>
        <w:t xml:space="preserve">Hilfe behandelt werden </w:t>
      </w:r>
      <w:r w:rsidR="00977B29">
        <w:rPr>
          <w:rFonts w:ascii="Arial" w:hAnsi="Arial" w:cs="Arial"/>
          <w:sz w:val="22"/>
          <w:szCs w:val="22"/>
          <w:lang w:val="de-AT"/>
        </w:rPr>
        <w:t>können</w:t>
      </w:r>
      <w:r w:rsidR="006A3C98">
        <w:rPr>
          <w:rFonts w:ascii="Arial" w:hAnsi="Arial" w:cs="Arial"/>
          <w:sz w:val="22"/>
          <w:szCs w:val="22"/>
          <w:lang w:val="de-AT"/>
        </w:rPr>
        <w:t>.</w:t>
      </w:r>
      <w:r w:rsidR="00977B29">
        <w:rPr>
          <w:rFonts w:ascii="Arial" w:hAnsi="Arial" w:cs="Arial"/>
          <w:sz w:val="22"/>
          <w:szCs w:val="22"/>
          <w:lang w:val="de-AT"/>
        </w:rPr>
        <w:t xml:space="preserve"> Die Behandlungsmöglichkeiten haben in den vergangenen Jahren eine deutliche Entwicklung </w:t>
      </w:r>
      <w:r w:rsidR="00FC0BE0">
        <w:rPr>
          <w:rFonts w:ascii="Arial" w:hAnsi="Arial" w:cs="Arial"/>
          <w:sz w:val="22"/>
          <w:szCs w:val="22"/>
          <w:lang w:val="de-AT"/>
        </w:rPr>
        <w:t xml:space="preserve">hinsichtlich Verträglichkeit </w:t>
      </w:r>
      <w:r w:rsidR="00977B29">
        <w:rPr>
          <w:rFonts w:ascii="Arial" w:hAnsi="Arial" w:cs="Arial"/>
          <w:sz w:val="22"/>
          <w:szCs w:val="22"/>
          <w:lang w:val="de-AT"/>
        </w:rPr>
        <w:t xml:space="preserve">und Wirksamkeit </w:t>
      </w:r>
      <w:r w:rsidR="00FC0BE0">
        <w:rPr>
          <w:rFonts w:ascii="Arial" w:hAnsi="Arial" w:cs="Arial"/>
          <w:sz w:val="22"/>
          <w:szCs w:val="22"/>
          <w:lang w:val="de-AT"/>
        </w:rPr>
        <w:t xml:space="preserve">durchgemacht. </w:t>
      </w:r>
    </w:p>
    <w:p w:rsidR="006A3C98" w:rsidRDefault="006A3C98" w:rsidP="00B57D9F">
      <w:pPr>
        <w:spacing w:after="120" w:line="360" w:lineRule="auto"/>
        <w:contextualSpacing/>
        <w:rPr>
          <w:rFonts w:ascii="Arial" w:hAnsi="Arial" w:cs="Arial"/>
          <w:sz w:val="22"/>
          <w:szCs w:val="22"/>
          <w:lang w:val="de-AT"/>
        </w:rPr>
      </w:pPr>
    </w:p>
    <w:p w:rsidR="006A3C98" w:rsidRDefault="006A3C98" w:rsidP="00B57D9F">
      <w:pPr>
        <w:spacing w:after="120" w:line="360" w:lineRule="auto"/>
        <w:contextualSpacing/>
        <w:rPr>
          <w:rFonts w:ascii="Arial" w:hAnsi="Arial" w:cs="Arial"/>
          <w:sz w:val="22"/>
          <w:szCs w:val="22"/>
          <w:lang w:val="de-AT"/>
        </w:rPr>
      </w:pPr>
    </w:p>
    <w:p w:rsidR="006A3C98" w:rsidRDefault="006A3C98" w:rsidP="00B57D9F">
      <w:pPr>
        <w:spacing w:after="120" w:line="360" w:lineRule="auto"/>
        <w:contextualSpacing/>
        <w:rPr>
          <w:rFonts w:ascii="Arial" w:hAnsi="Arial" w:cs="Arial"/>
          <w:sz w:val="22"/>
          <w:szCs w:val="22"/>
          <w:lang w:val="de-AT"/>
        </w:rPr>
      </w:pPr>
      <w:r>
        <w:rPr>
          <w:rFonts w:ascii="Arial" w:hAnsi="Arial" w:cs="Arial"/>
          <w:sz w:val="22"/>
          <w:szCs w:val="22"/>
          <w:lang w:val="de-AT"/>
        </w:rPr>
        <w:t>Literatur</w:t>
      </w:r>
    </w:p>
    <w:p w:rsidR="006A3C98" w:rsidRDefault="006A3C98" w:rsidP="00B57D9F">
      <w:pPr>
        <w:spacing w:after="120" w:line="360" w:lineRule="auto"/>
        <w:contextualSpacing/>
        <w:rPr>
          <w:rFonts w:ascii="Arial" w:hAnsi="Arial" w:cs="Arial"/>
          <w:sz w:val="22"/>
          <w:szCs w:val="22"/>
          <w:lang w:val="de-AT"/>
        </w:rPr>
      </w:pPr>
    </w:p>
    <w:p w:rsidR="006A3C98" w:rsidRPr="00977B29" w:rsidRDefault="006A3C98" w:rsidP="00977B29">
      <w:pPr>
        <w:pStyle w:val="Listenabsatz"/>
        <w:numPr>
          <w:ilvl w:val="0"/>
          <w:numId w:val="2"/>
        </w:numPr>
        <w:spacing w:after="120" w:line="360" w:lineRule="auto"/>
        <w:ind w:left="426" w:hanging="426"/>
        <w:contextualSpacing/>
        <w:rPr>
          <w:rFonts w:ascii="Arial" w:hAnsi="Arial" w:cs="Arial"/>
          <w:sz w:val="18"/>
          <w:szCs w:val="22"/>
          <w:lang w:val="en-US"/>
        </w:rPr>
      </w:pPr>
      <w:r w:rsidRPr="00977B29">
        <w:rPr>
          <w:rFonts w:ascii="Arial" w:hAnsi="Arial" w:cs="Arial"/>
          <w:sz w:val="18"/>
          <w:szCs w:val="22"/>
          <w:lang w:val="en-US"/>
        </w:rPr>
        <w:t>Baumbach A, Gulis G. Impact of financial crisis on selected health outcomes in Europe. Eur J Public Health. 2014 Apr 7. [Epub ahead of print]</w:t>
      </w:r>
    </w:p>
    <w:p w:rsidR="006A3C98" w:rsidRPr="00977B29" w:rsidRDefault="006A3C98" w:rsidP="00977B29">
      <w:pPr>
        <w:spacing w:after="120" w:line="360" w:lineRule="auto"/>
        <w:ind w:left="426" w:hanging="426"/>
        <w:contextualSpacing/>
        <w:rPr>
          <w:rFonts w:ascii="Arial" w:hAnsi="Arial" w:cs="Arial"/>
          <w:sz w:val="18"/>
          <w:szCs w:val="22"/>
          <w:lang w:val="en-US"/>
        </w:rPr>
      </w:pPr>
    </w:p>
    <w:p w:rsidR="00977B29" w:rsidRPr="00977B29" w:rsidRDefault="00977B29" w:rsidP="00977B29">
      <w:pPr>
        <w:pStyle w:val="Listenabsatz"/>
        <w:numPr>
          <w:ilvl w:val="0"/>
          <w:numId w:val="2"/>
        </w:numPr>
        <w:spacing w:after="120" w:line="360" w:lineRule="auto"/>
        <w:ind w:left="426" w:hanging="426"/>
        <w:contextualSpacing/>
        <w:rPr>
          <w:rFonts w:ascii="Arial" w:hAnsi="Arial" w:cs="Arial"/>
          <w:sz w:val="18"/>
          <w:szCs w:val="22"/>
          <w:lang w:val="en-US"/>
        </w:rPr>
      </w:pPr>
      <w:r w:rsidRPr="00977B29">
        <w:rPr>
          <w:rFonts w:ascii="Arial" w:hAnsi="Arial" w:cs="Arial"/>
          <w:sz w:val="18"/>
          <w:szCs w:val="22"/>
          <w:lang w:val="en-US"/>
        </w:rPr>
        <w:t>Cavanagh JT1, Carson AJ, Sharpe M, Lawrie SM. Psychological autopsy studies of suicide: a systematic review. Psychol Med. 2003 Apr;33(3):395-405.</w:t>
      </w:r>
    </w:p>
    <w:p w:rsidR="00977B29" w:rsidRPr="00977B29" w:rsidRDefault="00977B29" w:rsidP="00977B29">
      <w:pPr>
        <w:spacing w:after="120" w:line="360" w:lineRule="auto"/>
        <w:ind w:left="426" w:hanging="426"/>
        <w:contextualSpacing/>
        <w:rPr>
          <w:rFonts w:ascii="Arial" w:hAnsi="Arial" w:cs="Arial"/>
          <w:sz w:val="18"/>
          <w:szCs w:val="22"/>
          <w:lang w:val="en-US"/>
        </w:rPr>
      </w:pPr>
    </w:p>
    <w:p w:rsidR="00977B29" w:rsidRPr="00977B29" w:rsidRDefault="00977B29" w:rsidP="00977B29">
      <w:pPr>
        <w:pStyle w:val="Listenabsatz"/>
        <w:numPr>
          <w:ilvl w:val="0"/>
          <w:numId w:val="2"/>
        </w:numPr>
        <w:spacing w:after="120" w:line="360" w:lineRule="auto"/>
        <w:ind w:left="426" w:hanging="426"/>
        <w:contextualSpacing/>
        <w:rPr>
          <w:rFonts w:ascii="Arial" w:hAnsi="Arial" w:cs="Arial"/>
          <w:sz w:val="18"/>
          <w:szCs w:val="22"/>
          <w:lang w:val="en-US"/>
        </w:rPr>
      </w:pPr>
      <w:r w:rsidRPr="00977B29">
        <w:rPr>
          <w:rFonts w:ascii="Arial" w:hAnsi="Arial" w:cs="Arial"/>
          <w:sz w:val="18"/>
          <w:szCs w:val="22"/>
          <w:lang w:val="en-US"/>
        </w:rPr>
        <w:t>Kapusta ND, Niederkrotenthaler T, Etzersdorfer E, Voracek M, Dervic K, Jandl-Jager E, Sonneck G. Influence of psychotherapist density and antidepressant sales on suicide rates. Acta Psychiatr Scand. 2009 Mar;119(3):236-42. doi: 10.1111/j.1600-0447.2008.01314.x. Epub 2008 Dec 4.</w:t>
      </w:r>
    </w:p>
    <w:p w:rsidR="00977B29" w:rsidRPr="00977B29" w:rsidRDefault="00977B29" w:rsidP="00977B29">
      <w:pPr>
        <w:pStyle w:val="Listenabsatz"/>
        <w:rPr>
          <w:rFonts w:ascii="Arial" w:hAnsi="Arial" w:cs="Arial"/>
          <w:sz w:val="18"/>
          <w:szCs w:val="22"/>
          <w:lang w:val="en-US"/>
        </w:rPr>
      </w:pPr>
    </w:p>
    <w:p w:rsidR="00977B29" w:rsidRPr="00977B29" w:rsidRDefault="00977B29" w:rsidP="00977B29">
      <w:pPr>
        <w:pStyle w:val="Listenabsatz"/>
        <w:spacing w:after="120" w:line="360" w:lineRule="auto"/>
        <w:ind w:left="426"/>
        <w:contextualSpacing/>
        <w:rPr>
          <w:rFonts w:ascii="Arial" w:hAnsi="Arial" w:cs="Arial"/>
          <w:sz w:val="18"/>
          <w:szCs w:val="22"/>
          <w:lang w:val="en-US"/>
        </w:rPr>
      </w:pPr>
    </w:p>
    <w:p w:rsidR="00977B29" w:rsidRPr="00977B29" w:rsidRDefault="00977B29" w:rsidP="00977B29">
      <w:pPr>
        <w:pStyle w:val="Listenabsatz"/>
        <w:numPr>
          <w:ilvl w:val="0"/>
          <w:numId w:val="2"/>
        </w:numPr>
        <w:spacing w:after="120" w:line="360" w:lineRule="auto"/>
        <w:ind w:left="426" w:hanging="426"/>
        <w:contextualSpacing/>
        <w:rPr>
          <w:rFonts w:ascii="Arial" w:hAnsi="Arial" w:cs="Arial"/>
          <w:sz w:val="18"/>
          <w:szCs w:val="22"/>
          <w:lang w:val="en-US"/>
        </w:rPr>
      </w:pPr>
      <w:r w:rsidRPr="00977B29">
        <w:rPr>
          <w:rFonts w:ascii="Arial" w:hAnsi="Arial" w:cs="Arial"/>
          <w:sz w:val="18"/>
          <w:szCs w:val="22"/>
          <w:lang w:val="en-US"/>
        </w:rPr>
        <w:t>Vyssoki B, Willeit M, Blüml V, Höfer P, Erfurth A, Psota G, Lesch OM, Kapusta ND. Inpatient treatment of major depression in Austria between 1989 and 2009: impact of downsizing of psychiatric hospitals on admissions, suicide rates and outpatient psychiatric services. J Affect Disord. 2011 Sep;133(1-2):93-6. doi: 10.1016/j.jad.2011.03.031. Epub 2011 Apr 16.</w:t>
      </w:r>
    </w:p>
    <w:p w:rsidR="00977B29" w:rsidRPr="00977B29" w:rsidRDefault="00977B29" w:rsidP="00977B29">
      <w:pPr>
        <w:spacing w:after="120" w:line="360" w:lineRule="auto"/>
        <w:ind w:left="426" w:hanging="426"/>
        <w:contextualSpacing/>
        <w:rPr>
          <w:rFonts w:ascii="Arial" w:hAnsi="Arial" w:cs="Arial"/>
          <w:szCs w:val="22"/>
          <w:lang w:val="en-US"/>
        </w:rPr>
      </w:pPr>
    </w:p>
    <w:p w:rsidR="00977B29" w:rsidRPr="00977B29" w:rsidRDefault="00977B29" w:rsidP="00977B29">
      <w:pPr>
        <w:spacing w:after="120" w:line="360" w:lineRule="auto"/>
        <w:contextualSpacing/>
        <w:rPr>
          <w:rFonts w:ascii="Arial" w:hAnsi="Arial" w:cs="Arial"/>
          <w:sz w:val="22"/>
          <w:szCs w:val="22"/>
          <w:lang w:val="en-US"/>
        </w:rPr>
      </w:pPr>
    </w:p>
    <w:p w:rsidR="00977B29" w:rsidRPr="00977B29" w:rsidRDefault="00977B29" w:rsidP="00977B29">
      <w:pPr>
        <w:spacing w:after="120" w:line="360" w:lineRule="auto"/>
        <w:contextualSpacing/>
        <w:rPr>
          <w:rFonts w:ascii="Arial" w:hAnsi="Arial" w:cs="Arial"/>
          <w:sz w:val="22"/>
          <w:szCs w:val="22"/>
          <w:lang w:val="en-US"/>
        </w:rPr>
      </w:pPr>
    </w:p>
    <w:p w:rsidR="00977B29" w:rsidRPr="00977B29" w:rsidRDefault="00977B29" w:rsidP="00977B29">
      <w:pPr>
        <w:spacing w:after="120" w:line="360" w:lineRule="auto"/>
        <w:contextualSpacing/>
        <w:rPr>
          <w:rFonts w:ascii="Arial" w:hAnsi="Arial" w:cs="Arial"/>
          <w:sz w:val="22"/>
          <w:szCs w:val="22"/>
          <w:lang w:val="en-US"/>
        </w:rPr>
      </w:pPr>
    </w:p>
    <w:p w:rsidR="00977B29" w:rsidRDefault="00977B29" w:rsidP="00977B29">
      <w:pPr>
        <w:rPr>
          <w:rFonts w:ascii="Calibri" w:eastAsia="Calibri" w:hAnsi="Calibri" w:cs="Consolas"/>
          <w:noProof/>
        </w:rPr>
      </w:pPr>
      <w:bookmarkStart w:id="1" w:name="_MailAutoSig"/>
      <w:r>
        <w:rPr>
          <w:rFonts w:ascii="Calibri" w:eastAsia="Calibri" w:hAnsi="Calibri" w:cs="Consolas"/>
          <w:noProof/>
        </w:rPr>
        <w:t>Kontakt:</w:t>
      </w:r>
    </w:p>
    <w:p w:rsidR="00977B29" w:rsidRDefault="00977B29" w:rsidP="00977B29">
      <w:pPr>
        <w:rPr>
          <w:rFonts w:ascii="Calibri" w:eastAsia="Calibri" w:hAnsi="Calibri" w:cs="Consolas"/>
          <w:noProof/>
        </w:rPr>
      </w:pPr>
    </w:p>
    <w:p w:rsidR="00977B29" w:rsidRDefault="00977B29" w:rsidP="00977B29">
      <w:pPr>
        <w:rPr>
          <w:rFonts w:ascii="Calibri" w:eastAsia="Calibri" w:hAnsi="Calibri" w:cs="Consolas"/>
          <w:b/>
          <w:noProof/>
        </w:rPr>
      </w:pPr>
      <w:r>
        <w:rPr>
          <w:rFonts w:ascii="Calibri" w:eastAsia="Calibri" w:hAnsi="Calibri" w:cs="Consolas"/>
          <w:b/>
          <w:noProof/>
        </w:rPr>
        <w:t>Assoc. Prof. Dr. Nestor Kapusta</w:t>
      </w:r>
    </w:p>
    <w:p w:rsidR="00977B29" w:rsidRDefault="00977B29" w:rsidP="00977B29">
      <w:pPr>
        <w:rPr>
          <w:rFonts w:ascii="Calibri" w:eastAsia="Calibri" w:hAnsi="Calibri" w:cs="Consolas"/>
          <w:noProof/>
          <w:sz w:val="18"/>
          <w:szCs w:val="18"/>
        </w:rPr>
      </w:pPr>
      <w:r>
        <w:rPr>
          <w:rFonts w:ascii="Calibri" w:eastAsia="Calibri" w:hAnsi="Calibri" w:cs="Consolas"/>
          <w:noProof/>
          <w:sz w:val="18"/>
          <w:szCs w:val="18"/>
        </w:rPr>
        <w:t>Medizinische Universität Wien</w:t>
      </w:r>
    </w:p>
    <w:p w:rsidR="00977B29" w:rsidRDefault="00977B29" w:rsidP="00977B29">
      <w:pPr>
        <w:rPr>
          <w:rFonts w:ascii="Calibri" w:eastAsia="Calibri" w:hAnsi="Calibri" w:cs="Consolas"/>
          <w:noProof/>
          <w:sz w:val="18"/>
          <w:szCs w:val="18"/>
        </w:rPr>
      </w:pPr>
      <w:r>
        <w:rPr>
          <w:rFonts w:ascii="Calibri" w:eastAsia="Calibri" w:hAnsi="Calibri" w:cs="Consolas"/>
          <w:noProof/>
          <w:sz w:val="18"/>
          <w:szCs w:val="18"/>
        </w:rPr>
        <w:t>Universitätsklinik für Psychoanalyse und Psychotherapie</w:t>
      </w:r>
    </w:p>
    <w:p w:rsidR="00977B29" w:rsidRDefault="00977B29" w:rsidP="00977B29">
      <w:pPr>
        <w:rPr>
          <w:rFonts w:ascii="Calibri" w:eastAsia="Calibri" w:hAnsi="Calibri" w:cs="Consolas"/>
          <w:noProof/>
          <w:sz w:val="18"/>
          <w:szCs w:val="18"/>
        </w:rPr>
      </w:pPr>
      <w:r>
        <w:rPr>
          <w:rFonts w:ascii="Calibri" w:eastAsia="Calibri" w:hAnsi="Calibri" w:cs="Consolas"/>
          <w:noProof/>
          <w:sz w:val="18"/>
          <w:szCs w:val="18"/>
        </w:rPr>
        <w:t>Suicide Research Group</w:t>
      </w:r>
    </w:p>
    <w:p w:rsidR="00977B29" w:rsidRDefault="00977B29" w:rsidP="00977B29">
      <w:pPr>
        <w:rPr>
          <w:rFonts w:ascii="Calibri" w:eastAsia="Calibri" w:hAnsi="Calibri" w:cs="Consolas"/>
          <w:noProof/>
          <w:sz w:val="18"/>
          <w:szCs w:val="18"/>
        </w:rPr>
      </w:pPr>
      <w:r>
        <w:rPr>
          <w:rFonts w:ascii="Calibri" w:eastAsia="Calibri" w:hAnsi="Calibri" w:cs="Consolas"/>
          <w:noProof/>
          <w:sz w:val="18"/>
          <w:szCs w:val="18"/>
        </w:rPr>
        <w:t>Währinger Gürtel 18-20</w:t>
      </w:r>
    </w:p>
    <w:p w:rsidR="00977B29" w:rsidRDefault="00977B29" w:rsidP="00977B29">
      <w:pPr>
        <w:rPr>
          <w:rFonts w:ascii="Calibri" w:eastAsia="Calibri" w:hAnsi="Calibri" w:cs="Consolas"/>
          <w:noProof/>
          <w:sz w:val="18"/>
          <w:szCs w:val="18"/>
        </w:rPr>
      </w:pPr>
      <w:r>
        <w:rPr>
          <w:rFonts w:ascii="Calibri" w:eastAsia="Calibri" w:hAnsi="Calibri" w:cs="Consolas"/>
          <w:noProof/>
          <w:sz w:val="18"/>
          <w:szCs w:val="18"/>
        </w:rPr>
        <w:t>1090 Wien</w:t>
      </w:r>
    </w:p>
    <w:p w:rsidR="00977B29" w:rsidRDefault="00977B29" w:rsidP="00977B29">
      <w:pPr>
        <w:rPr>
          <w:rFonts w:ascii="Calibri" w:eastAsia="Calibri" w:hAnsi="Calibri" w:cs="Consolas"/>
          <w:noProof/>
          <w:sz w:val="18"/>
          <w:szCs w:val="18"/>
        </w:rPr>
      </w:pPr>
      <w:r>
        <w:rPr>
          <w:rFonts w:ascii="Calibri" w:eastAsia="Calibri" w:hAnsi="Calibri" w:cs="Consolas"/>
          <w:noProof/>
          <w:sz w:val="18"/>
          <w:szCs w:val="18"/>
        </w:rPr>
        <w:t>Austria</w:t>
      </w:r>
    </w:p>
    <w:p w:rsidR="00977B29" w:rsidRDefault="00977B29" w:rsidP="00977B29">
      <w:pPr>
        <w:rPr>
          <w:rFonts w:ascii="Calibri" w:eastAsia="Calibri" w:hAnsi="Calibri" w:cs="Consolas"/>
          <w:noProof/>
          <w:sz w:val="18"/>
          <w:szCs w:val="18"/>
        </w:rPr>
      </w:pPr>
      <w:r>
        <w:rPr>
          <w:rFonts w:ascii="Calibri" w:eastAsia="Calibri" w:hAnsi="Calibri" w:cs="Consolas"/>
          <w:noProof/>
          <w:sz w:val="18"/>
          <w:szCs w:val="18"/>
        </w:rPr>
        <w:t>Tel: (+43 1) 40 400 - 307 10</w:t>
      </w:r>
    </w:p>
    <w:p w:rsidR="00977B29" w:rsidRDefault="00977B29" w:rsidP="00977B29">
      <w:pPr>
        <w:rPr>
          <w:rFonts w:ascii="Calibri" w:eastAsia="Calibri" w:hAnsi="Calibri" w:cs="Consolas"/>
          <w:noProof/>
          <w:sz w:val="18"/>
          <w:szCs w:val="18"/>
        </w:rPr>
      </w:pPr>
      <w:r>
        <w:rPr>
          <w:rFonts w:ascii="Calibri" w:eastAsia="Calibri" w:hAnsi="Calibri" w:cs="Consolas"/>
          <w:noProof/>
          <w:sz w:val="18"/>
          <w:szCs w:val="18"/>
        </w:rPr>
        <w:t>Fax: (+43 1) 406 68 03</w:t>
      </w:r>
    </w:p>
    <w:p w:rsidR="00977B29" w:rsidRDefault="00977B29" w:rsidP="00977B29">
      <w:pPr>
        <w:rPr>
          <w:rFonts w:ascii="Calibri" w:eastAsia="Calibri" w:hAnsi="Calibri" w:cs="Consolas"/>
          <w:noProof/>
          <w:sz w:val="18"/>
          <w:szCs w:val="18"/>
        </w:rPr>
      </w:pPr>
      <w:r>
        <w:rPr>
          <w:rFonts w:ascii="Calibri" w:eastAsia="Calibri" w:hAnsi="Calibri" w:cs="Consolas"/>
          <w:noProof/>
          <w:sz w:val="18"/>
          <w:szCs w:val="18"/>
        </w:rPr>
        <w:t xml:space="preserve">Mobil: 0664 786 66 66 </w:t>
      </w:r>
      <w:bookmarkEnd w:id="1"/>
    </w:p>
    <w:p w:rsidR="006A3C98" w:rsidRPr="00977B29" w:rsidRDefault="00977B29" w:rsidP="006A3C98">
      <w:pPr>
        <w:spacing w:after="120" w:line="360" w:lineRule="auto"/>
        <w:contextualSpacing/>
        <w:rPr>
          <w:rFonts w:ascii="Arial" w:hAnsi="Arial" w:cs="Arial"/>
          <w:sz w:val="18"/>
          <w:szCs w:val="22"/>
          <w:lang w:val="en-US"/>
        </w:rPr>
      </w:pPr>
      <w:r w:rsidRPr="00977B29">
        <w:rPr>
          <w:rFonts w:ascii="Arial" w:hAnsi="Arial" w:cs="Arial"/>
          <w:sz w:val="18"/>
          <w:szCs w:val="22"/>
          <w:lang w:val="en-US"/>
        </w:rPr>
        <w:t>Nestor.kapusta@meduniwien.ac.at</w:t>
      </w:r>
    </w:p>
    <w:sectPr w:rsidR="006A3C98" w:rsidRPr="00977B2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7039FE"/>
    <w:multiLevelType w:val="hybridMultilevel"/>
    <w:tmpl w:val="A77270F0"/>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58A32A51"/>
    <w:multiLevelType w:val="hybridMultilevel"/>
    <w:tmpl w:val="23B07C5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CD0"/>
    <w:rsid w:val="001C365E"/>
    <w:rsid w:val="001F6C0F"/>
    <w:rsid w:val="00253D88"/>
    <w:rsid w:val="003E2640"/>
    <w:rsid w:val="004D0AC0"/>
    <w:rsid w:val="004E03CD"/>
    <w:rsid w:val="00612364"/>
    <w:rsid w:val="00642CCB"/>
    <w:rsid w:val="006A3C98"/>
    <w:rsid w:val="00707020"/>
    <w:rsid w:val="00745CD0"/>
    <w:rsid w:val="007C1E99"/>
    <w:rsid w:val="007E1AC3"/>
    <w:rsid w:val="00977B29"/>
    <w:rsid w:val="00AC752D"/>
    <w:rsid w:val="00B57D9F"/>
    <w:rsid w:val="00B8605A"/>
    <w:rsid w:val="00DD4E26"/>
    <w:rsid w:val="00E41DB9"/>
    <w:rsid w:val="00FC0BE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EF35AD-C51C-483E-BCA2-E3D75B0F8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45CD0"/>
    <w:pPr>
      <w:spacing w:after="0" w:line="240" w:lineRule="auto"/>
    </w:pPr>
    <w:rPr>
      <w:rFonts w:ascii="Times New Roman" w:eastAsia="Times New Roman" w:hAnsi="Times New Roman" w:cs="Times New Roman"/>
      <w:sz w:val="20"/>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45CD0"/>
    <w:pPr>
      <w:ind w:left="708"/>
    </w:pPr>
  </w:style>
  <w:style w:type="paragraph" w:styleId="Sprechblasentext">
    <w:name w:val="Balloon Text"/>
    <w:basedOn w:val="Standard"/>
    <w:link w:val="SprechblasentextZchn"/>
    <w:uiPriority w:val="99"/>
    <w:semiHidden/>
    <w:unhideWhenUsed/>
    <w:rsid w:val="00707020"/>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07020"/>
    <w:rPr>
      <w:rFonts w:ascii="Tahoma" w:eastAsia="Times New Roman" w:hAnsi="Tahoma" w:cs="Tahoma"/>
      <w:sz w:val="16"/>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730133">
      <w:bodyDiv w:val="1"/>
      <w:marLeft w:val="0"/>
      <w:marRight w:val="0"/>
      <w:marTop w:val="0"/>
      <w:marBottom w:val="0"/>
      <w:divBdr>
        <w:top w:val="none" w:sz="0" w:space="0" w:color="auto"/>
        <w:left w:val="none" w:sz="0" w:space="0" w:color="auto"/>
        <w:bottom w:val="none" w:sz="0" w:space="0" w:color="auto"/>
        <w:right w:val="none" w:sz="0" w:space="0" w:color="auto"/>
      </w:divBdr>
    </w:div>
    <w:div w:id="1090928953">
      <w:bodyDiv w:val="1"/>
      <w:marLeft w:val="0"/>
      <w:marRight w:val="0"/>
      <w:marTop w:val="0"/>
      <w:marBottom w:val="0"/>
      <w:divBdr>
        <w:top w:val="none" w:sz="0" w:space="0" w:color="auto"/>
        <w:left w:val="none" w:sz="0" w:space="0" w:color="auto"/>
        <w:bottom w:val="none" w:sz="0" w:space="0" w:color="auto"/>
        <w:right w:val="none" w:sz="0" w:space="0" w:color="auto"/>
      </w:divBdr>
      <w:divsChild>
        <w:div w:id="827524842">
          <w:marLeft w:val="0"/>
          <w:marRight w:val="1"/>
          <w:marTop w:val="0"/>
          <w:marBottom w:val="0"/>
          <w:divBdr>
            <w:top w:val="none" w:sz="0" w:space="0" w:color="auto"/>
            <w:left w:val="none" w:sz="0" w:space="0" w:color="auto"/>
            <w:bottom w:val="none" w:sz="0" w:space="0" w:color="auto"/>
            <w:right w:val="none" w:sz="0" w:space="0" w:color="auto"/>
          </w:divBdr>
          <w:divsChild>
            <w:div w:id="2075465224">
              <w:marLeft w:val="0"/>
              <w:marRight w:val="0"/>
              <w:marTop w:val="0"/>
              <w:marBottom w:val="0"/>
              <w:divBdr>
                <w:top w:val="none" w:sz="0" w:space="0" w:color="auto"/>
                <w:left w:val="none" w:sz="0" w:space="0" w:color="auto"/>
                <w:bottom w:val="none" w:sz="0" w:space="0" w:color="auto"/>
                <w:right w:val="none" w:sz="0" w:space="0" w:color="auto"/>
              </w:divBdr>
              <w:divsChild>
                <w:div w:id="354427696">
                  <w:marLeft w:val="0"/>
                  <w:marRight w:val="1"/>
                  <w:marTop w:val="0"/>
                  <w:marBottom w:val="0"/>
                  <w:divBdr>
                    <w:top w:val="none" w:sz="0" w:space="0" w:color="auto"/>
                    <w:left w:val="none" w:sz="0" w:space="0" w:color="auto"/>
                    <w:bottom w:val="none" w:sz="0" w:space="0" w:color="auto"/>
                    <w:right w:val="none" w:sz="0" w:space="0" w:color="auto"/>
                  </w:divBdr>
                  <w:divsChild>
                    <w:div w:id="2067684896">
                      <w:marLeft w:val="0"/>
                      <w:marRight w:val="0"/>
                      <w:marTop w:val="0"/>
                      <w:marBottom w:val="0"/>
                      <w:divBdr>
                        <w:top w:val="none" w:sz="0" w:space="0" w:color="auto"/>
                        <w:left w:val="none" w:sz="0" w:space="0" w:color="auto"/>
                        <w:bottom w:val="none" w:sz="0" w:space="0" w:color="auto"/>
                        <w:right w:val="none" w:sz="0" w:space="0" w:color="auto"/>
                      </w:divBdr>
                      <w:divsChild>
                        <w:div w:id="1396775521">
                          <w:marLeft w:val="0"/>
                          <w:marRight w:val="0"/>
                          <w:marTop w:val="0"/>
                          <w:marBottom w:val="0"/>
                          <w:divBdr>
                            <w:top w:val="none" w:sz="0" w:space="0" w:color="auto"/>
                            <w:left w:val="none" w:sz="0" w:space="0" w:color="auto"/>
                            <w:bottom w:val="none" w:sz="0" w:space="0" w:color="auto"/>
                            <w:right w:val="none" w:sz="0" w:space="0" w:color="auto"/>
                          </w:divBdr>
                          <w:divsChild>
                            <w:div w:id="1951858827">
                              <w:marLeft w:val="0"/>
                              <w:marRight w:val="0"/>
                              <w:marTop w:val="120"/>
                              <w:marBottom w:val="360"/>
                              <w:divBdr>
                                <w:top w:val="none" w:sz="0" w:space="0" w:color="auto"/>
                                <w:left w:val="none" w:sz="0" w:space="0" w:color="auto"/>
                                <w:bottom w:val="none" w:sz="0" w:space="0" w:color="auto"/>
                                <w:right w:val="none" w:sz="0" w:space="0" w:color="auto"/>
                              </w:divBdr>
                              <w:divsChild>
                                <w:div w:id="962538318">
                                  <w:marLeft w:val="420"/>
                                  <w:marRight w:val="0"/>
                                  <w:marTop w:val="0"/>
                                  <w:marBottom w:val="0"/>
                                  <w:divBdr>
                                    <w:top w:val="none" w:sz="0" w:space="0" w:color="auto"/>
                                    <w:left w:val="none" w:sz="0" w:space="0" w:color="auto"/>
                                    <w:bottom w:val="none" w:sz="0" w:space="0" w:color="auto"/>
                                    <w:right w:val="none" w:sz="0" w:space="0" w:color="auto"/>
                                  </w:divBdr>
                                  <w:divsChild>
                                    <w:div w:id="9776911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5101834">
      <w:bodyDiv w:val="1"/>
      <w:marLeft w:val="0"/>
      <w:marRight w:val="0"/>
      <w:marTop w:val="0"/>
      <w:marBottom w:val="0"/>
      <w:divBdr>
        <w:top w:val="none" w:sz="0" w:space="0" w:color="auto"/>
        <w:left w:val="none" w:sz="0" w:space="0" w:color="auto"/>
        <w:bottom w:val="none" w:sz="0" w:space="0" w:color="auto"/>
        <w:right w:val="none" w:sz="0" w:space="0" w:color="auto"/>
      </w:divBdr>
      <w:divsChild>
        <w:div w:id="1233008152">
          <w:marLeft w:val="0"/>
          <w:marRight w:val="1"/>
          <w:marTop w:val="0"/>
          <w:marBottom w:val="0"/>
          <w:divBdr>
            <w:top w:val="none" w:sz="0" w:space="0" w:color="auto"/>
            <w:left w:val="none" w:sz="0" w:space="0" w:color="auto"/>
            <w:bottom w:val="none" w:sz="0" w:space="0" w:color="auto"/>
            <w:right w:val="none" w:sz="0" w:space="0" w:color="auto"/>
          </w:divBdr>
          <w:divsChild>
            <w:div w:id="2135322884">
              <w:marLeft w:val="0"/>
              <w:marRight w:val="0"/>
              <w:marTop w:val="0"/>
              <w:marBottom w:val="0"/>
              <w:divBdr>
                <w:top w:val="none" w:sz="0" w:space="0" w:color="auto"/>
                <w:left w:val="none" w:sz="0" w:space="0" w:color="auto"/>
                <w:bottom w:val="none" w:sz="0" w:space="0" w:color="auto"/>
                <w:right w:val="none" w:sz="0" w:space="0" w:color="auto"/>
              </w:divBdr>
              <w:divsChild>
                <w:div w:id="1354190496">
                  <w:marLeft w:val="0"/>
                  <w:marRight w:val="1"/>
                  <w:marTop w:val="0"/>
                  <w:marBottom w:val="0"/>
                  <w:divBdr>
                    <w:top w:val="none" w:sz="0" w:space="0" w:color="auto"/>
                    <w:left w:val="none" w:sz="0" w:space="0" w:color="auto"/>
                    <w:bottom w:val="none" w:sz="0" w:space="0" w:color="auto"/>
                    <w:right w:val="none" w:sz="0" w:space="0" w:color="auto"/>
                  </w:divBdr>
                  <w:divsChild>
                    <w:div w:id="1026561004">
                      <w:marLeft w:val="0"/>
                      <w:marRight w:val="0"/>
                      <w:marTop w:val="0"/>
                      <w:marBottom w:val="0"/>
                      <w:divBdr>
                        <w:top w:val="none" w:sz="0" w:space="0" w:color="auto"/>
                        <w:left w:val="none" w:sz="0" w:space="0" w:color="auto"/>
                        <w:bottom w:val="none" w:sz="0" w:space="0" w:color="auto"/>
                        <w:right w:val="none" w:sz="0" w:space="0" w:color="auto"/>
                      </w:divBdr>
                      <w:divsChild>
                        <w:div w:id="788473984">
                          <w:marLeft w:val="0"/>
                          <w:marRight w:val="0"/>
                          <w:marTop w:val="0"/>
                          <w:marBottom w:val="0"/>
                          <w:divBdr>
                            <w:top w:val="none" w:sz="0" w:space="0" w:color="auto"/>
                            <w:left w:val="none" w:sz="0" w:space="0" w:color="auto"/>
                            <w:bottom w:val="none" w:sz="0" w:space="0" w:color="auto"/>
                            <w:right w:val="none" w:sz="0" w:space="0" w:color="auto"/>
                          </w:divBdr>
                          <w:divsChild>
                            <w:div w:id="455416682">
                              <w:marLeft w:val="0"/>
                              <w:marRight w:val="0"/>
                              <w:marTop w:val="120"/>
                              <w:marBottom w:val="360"/>
                              <w:divBdr>
                                <w:top w:val="none" w:sz="0" w:space="0" w:color="auto"/>
                                <w:left w:val="none" w:sz="0" w:space="0" w:color="auto"/>
                                <w:bottom w:val="none" w:sz="0" w:space="0" w:color="auto"/>
                                <w:right w:val="none" w:sz="0" w:space="0" w:color="auto"/>
                              </w:divBdr>
                              <w:divsChild>
                                <w:div w:id="1432360769">
                                  <w:marLeft w:val="420"/>
                                  <w:marRight w:val="0"/>
                                  <w:marTop w:val="0"/>
                                  <w:marBottom w:val="0"/>
                                  <w:divBdr>
                                    <w:top w:val="none" w:sz="0" w:space="0" w:color="auto"/>
                                    <w:left w:val="none" w:sz="0" w:space="0" w:color="auto"/>
                                    <w:bottom w:val="none" w:sz="0" w:space="0" w:color="auto"/>
                                    <w:right w:val="none" w:sz="0" w:space="0" w:color="auto"/>
                                  </w:divBdr>
                                  <w:divsChild>
                                    <w:div w:id="210510561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7238421">
      <w:bodyDiv w:val="1"/>
      <w:marLeft w:val="0"/>
      <w:marRight w:val="0"/>
      <w:marTop w:val="0"/>
      <w:marBottom w:val="0"/>
      <w:divBdr>
        <w:top w:val="none" w:sz="0" w:space="0" w:color="auto"/>
        <w:left w:val="none" w:sz="0" w:space="0" w:color="auto"/>
        <w:bottom w:val="none" w:sz="0" w:space="0" w:color="auto"/>
        <w:right w:val="none" w:sz="0" w:space="0" w:color="auto"/>
      </w:divBdr>
    </w:div>
    <w:div w:id="1192845163">
      <w:bodyDiv w:val="1"/>
      <w:marLeft w:val="0"/>
      <w:marRight w:val="0"/>
      <w:marTop w:val="0"/>
      <w:marBottom w:val="0"/>
      <w:divBdr>
        <w:top w:val="none" w:sz="0" w:space="0" w:color="auto"/>
        <w:left w:val="none" w:sz="0" w:space="0" w:color="auto"/>
        <w:bottom w:val="none" w:sz="0" w:space="0" w:color="auto"/>
        <w:right w:val="none" w:sz="0" w:space="0" w:color="auto"/>
      </w:divBdr>
      <w:divsChild>
        <w:div w:id="1099594929">
          <w:marLeft w:val="0"/>
          <w:marRight w:val="1"/>
          <w:marTop w:val="0"/>
          <w:marBottom w:val="0"/>
          <w:divBdr>
            <w:top w:val="none" w:sz="0" w:space="0" w:color="auto"/>
            <w:left w:val="none" w:sz="0" w:space="0" w:color="auto"/>
            <w:bottom w:val="none" w:sz="0" w:space="0" w:color="auto"/>
            <w:right w:val="none" w:sz="0" w:space="0" w:color="auto"/>
          </w:divBdr>
          <w:divsChild>
            <w:div w:id="9988425">
              <w:marLeft w:val="0"/>
              <w:marRight w:val="0"/>
              <w:marTop w:val="0"/>
              <w:marBottom w:val="0"/>
              <w:divBdr>
                <w:top w:val="none" w:sz="0" w:space="0" w:color="auto"/>
                <w:left w:val="none" w:sz="0" w:space="0" w:color="auto"/>
                <w:bottom w:val="none" w:sz="0" w:space="0" w:color="auto"/>
                <w:right w:val="none" w:sz="0" w:space="0" w:color="auto"/>
              </w:divBdr>
              <w:divsChild>
                <w:div w:id="1795831815">
                  <w:marLeft w:val="0"/>
                  <w:marRight w:val="1"/>
                  <w:marTop w:val="0"/>
                  <w:marBottom w:val="0"/>
                  <w:divBdr>
                    <w:top w:val="none" w:sz="0" w:space="0" w:color="auto"/>
                    <w:left w:val="none" w:sz="0" w:space="0" w:color="auto"/>
                    <w:bottom w:val="none" w:sz="0" w:space="0" w:color="auto"/>
                    <w:right w:val="none" w:sz="0" w:space="0" w:color="auto"/>
                  </w:divBdr>
                  <w:divsChild>
                    <w:div w:id="897205662">
                      <w:marLeft w:val="0"/>
                      <w:marRight w:val="0"/>
                      <w:marTop w:val="0"/>
                      <w:marBottom w:val="0"/>
                      <w:divBdr>
                        <w:top w:val="none" w:sz="0" w:space="0" w:color="auto"/>
                        <w:left w:val="none" w:sz="0" w:space="0" w:color="auto"/>
                        <w:bottom w:val="none" w:sz="0" w:space="0" w:color="auto"/>
                        <w:right w:val="none" w:sz="0" w:space="0" w:color="auto"/>
                      </w:divBdr>
                      <w:divsChild>
                        <w:div w:id="407533077">
                          <w:marLeft w:val="0"/>
                          <w:marRight w:val="0"/>
                          <w:marTop w:val="0"/>
                          <w:marBottom w:val="0"/>
                          <w:divBdr>
                            <w:top w:val="none" w:sz="0" w:space="0" w:color="auto"/>
                            <w:left w:val="none" w:sz="0" w:space="0" w:color="auto"/>
                            <w:bottom w:val="none" w:sz="0" w:space="0" w:color="auto"/>
                            <w:right w:val="none" w:sz="0" w:space="0" w:color="auto"/>
                          </w:divBdr>
                          <w:divsChild>
                            <w:div w:id="1776902305">
                              <w:marLeft w:val="0"/>
                              <w:marRight w:val="0"/>
                              <w:marTop w:val="120"/>
                              <w:marBottom w:val="360"/>
                              <w:divBdr>
                                <w:top w:val="none" w:sz="0" w:space="0" w:color="auto"/>
                                <w:left w:val="none" w:sz="0" w:space="0" w:color="auto"/>
                                <w:bottom w:val="none" w:sz="0" w:space="0" w:color="auto"/>
                                <w:right w:val="none" w:sz="0" w:space="0" w:color="auto"/>
                              </w:divBdr>
                              <w:divsChild>
                                <w:div w:id="931275301">
                                  <w:marLeft w:val="420"/>
                                  <w:marRight w:val="0"/>
                                  <w:marTop w:val="0"/>
                                  <w:marBottom w:val="0"/>
                                  <w:divBdr>
                                    <w:top w:val="none" w:sz="0" w:space="0" w:color="auto"/>
                                    <w:left w:val="none" w:sz="0" w:space="0" w:color="auto"/>
                                    <w:bottom w:val="none" w:sz="0" w:space="0" w:color="auto"/>
                                    <w:right w:val="none" w:sz="0" w:space="0" w:color="auto"/>
                                  </w:divBdr>
                                  <w:divsChild>
                                    <w:div w:id="362760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391956">
      <w:bodyDiv w:val="1"/>
      <w:marLeft w:val="0"/>
      <w:marRight w:val="0"/>
      <w:marTop w:val="0"/>
      <w:marBottom w:val="0"/>
      <w:divBdr>
        <w:top w:val="none" w:sz="0" w:space="0" w:color="auto"/>
        <w:left w:val="none" w:sz="0" w:space="0" w:color="auto"/>
        <w:bottom w:val="none" w:sz="0" w:space="0" w:color="auto"/>
        <w:right w:val="none" w:sz="0" w:space="0" w:color="auto"/>
      </w:divBdr>
      <w:divsChild>
        <w:div w:id="801771640">
          <w:marLeft w:val="0"/>
          <w:marRight w:val="1"/>
          <w:marTop w:val="0"/>
          <w:marBottom w:val="0"/>
          <w:divBdr>
            <w:top w:val="none" w:sz="0" w:space="0" w:color="auto"/>
            <w:left w:val="none" w:sz="0" w:space="0" w:color="auto"/>
            <w:bottom w:val="none" w:sz="0" w:space="0" w:color="auto"/>
            <w:right w:val="none" w:sz="0" w:space="0" w:color="auto"/>
          </w:divBdr>
          <w:divsChild>
            <w:div w:id="279457626">
              <w:marLeft w:val="0"/>
              <w:marRight w:val="0"/>
              <w:marTop w:val="0"/>
              <w:marBottom w:val="0"/>
              <w:divBdr>
                <w:top w:val="none" w:sz="0" w:space="0" w:color="auto"/>
                <w:left w:val="none" w:sz="0" w:space="0" w:color="auto"/>
                <w:bottom w:val="none" w:sz="0" w:space="0" w:color="auto"/>
                <w:right w:val="none" w:sz="0" w:space="0" w:color="auto"/>
              </w:divBdr>
              <w:divsChild>
                <w:div w:id="949892941">
                  <w:marLeft w:val="0"/>
                  <w:marRight w:val="1"/>
                  <w:marTop w:val="0"/>
                  <w:marBottom w:val="0"/>
                  <w:divBdr>
                    <w:top w:val="none" w:sz="0" w:space="0" w:color="auto"/>
                    <w:left w:val="none" w:sz="0" w:space="0" w:color="auto"/>
                    <w:bottom w:val="none" w:sz="0" w:space="0" w:color="auto"/>
                    <w:right w:val="none" w:sz="0" w:space="0" w:color="auto"/>
                  </w:divBdr>
                  <w:divsChild>
                    <w:div w:id="481627805">
                      <w:marLeft w:val="0"/>
                      <w:marRight w:val="0"/>
                      <w:marTop w:val="0"/>
                      <w:marBottom w:val="0"/>
                      <w:divBdr>
                        <w:top w:val="none" w:sz="0" w:space="0" w:color="auto"/>
                        <w:left w:val="none" w:sz="0" w:space="0" w:color="auto"/>
                        <w:bottom w:val="none" w:sz="0" w:space="0" w:color="auto"/>
                        <w:right w:val="none" w:sz="0" w:space="0" w:color="auto"/>
                      </w:divBdr>
                      <w:divsChild>
                        <w:div w:id="1492015781">
                          <w:marLeft w:val="0"/>
                          <w:marRight w:val="0"/>
                          <w:marTop w:val="0"/>
                          <w:marBottom w:val="0"/>
                          <w:divBdr>
                            <w:top w:val="none" w:sz="0" w:space="0" w:color="auto"/>
                            <w:left w:val="none" w:sz="0" w:space="0" w:color="auto"/>
                            <w:bottom w:val="none" w:sz="0" w:space="0" w:color="auto"/>
                            <w:right w:val="none" w:sz="0" w:space="0" w:color="auto"/>
                          </w:divBdr>
                          <w:divsChild>
                            <w:div w:id="1227840284">
                              <w:marLeft w:val="0"/>
                              <w:marRight w:val="0"/>
                              <w:marTop w:val="120"/>
                              <w:marBottom w:val="360"/>
                              <w:divBdr>
                                <w:top w:val="none" w:sz="0" w:space="0" w:color="auto"/>
                                <w:left w:val="none" w:sz="0" w:space="0" w:color="auto"/>
                                <w:bottom w:val="none" w:sz="0" w:space="0" w:color="auto"/>
                                <w:right w:val="none" w:sz="0" w:space="0" w:color="auto"/>
                              </w:divBdr>
                              <w:divsChild>
                                <w:div w:id="1065833462">
                                  <w:marLeft w:val="0"/>
                                  <w:marRight w:val="0"/>
                                  <w:marTop w:val="0"/>
                                  <w:marBottom w:val="0"/>
                                  <w:divBdr>
                                    <w:top w:val="none" w:sz="0" w:space="0" w:color="auto"/>
                                    <w:left w:val="none" w:sz="0" w:space="0" w:color="auto"/>
                                    <w:bottom w:val="none" w:sz="0" w:space="0" w:color="auto"/>
                                    <w:right w:val="none" w:sz="0" w:space="0" w:color="auto"/>
                                  </w:divBdr>
                                </w:div>
                                <w:div w:id="43745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s>
</file>

<file path=word/charts/_rels/chart1.xml.rels><?xml version="1.0" encoding="UTF-8" standalone="yes"?>
<Relationships xmlns="http://schemas.openxmlformats.org/package/2006/relationships"><Relationship Id="rId1" Type="http://schemas.openxmlformats.org/officeDocument/2006/relationships/oleObject" Target="file:///F:\Kapusta\MUW%20-%20Inst.%20f.%20Medizinische%20Psychologie\AUSWERTUNGEN%20-%20laufend\Bundesland%20ges%201970-2012.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apusta\Dropbox\Suizidbericht%202013\Tabellen%20und%20Abbildungen%20zum%20Suizidbericht%202013%20-%20Teil%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Tabelle3!$B$1</c:f>
              <c:strCache>
                <c:ptCount val="1"/>
                <c:pt idx="0">
                  <c:v>Ober-
österreich  </c:v>
                </c:pt>
              </c:strCache>
            </c:strRef>
          </c:tx>
          <c:marker>
            <c:symbol val="none"/>
          </c:marker>
          <c:cat>
            <c:numRef>
              <c:f>Tabelle3!$A$2:$A$48</c:f>
              <c:numCache>
                <c:formatCode>General</c:formatCode>
                <c:ptCount val="47"/>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numCache>
            </c:numRef>
          </c:cat>
          <c:val>
            <c:numRef>
              <c:f>Tabelle3!$B$2:$B$48</c:f>
              <c:numCache>
                <c:formatCode>###0</c:formatCode>
                <c:ptCount val="47"/>
                <c:pt idx="0">
                  <c:v>284</c:v>
                </c:pt>
                <c:pt idx="1">
                  <c:v>274</c:v>
                </c:pt>
                <c:pt idx="2">
                  <c:v>264</c:v>
                </c:pt>
                <c:pt idx="3">
                  <c:v>274</c:v>
                </c:pt>
                <c:pt idx="4">
                  <c:v>309</c:v>
                </c:pt>
                <c:pt idx="5">
                  <c:v>320</c:v>
                </c:pt>
                <c:pt idx="6">
                  <c:v>290</c:v>
                </c:pt>
                <c:pt idx="7">
                  <c:v>296</c:v>
                </c:pt>
                <c:pt idx="8">
                  <c:v>315</c:v>
                </c:pt>
                <c:pt idx="9">
                  <c:v>325</c:v>
                </c:pt>
                <c:pt idx="10">
                  <c:v>307</c:v>
                </c:pt>
                <c:pt idx="11">
                  <c:v>334</c:v>
                </c:pt>
                <c:pt idx="12">
                  <c:v>344</c:v>
                </c:pt>
                <c:pt idx="13">
                  <c:v>329</c:v>
                </c:pt>
                <c:pt idx="14">
                  <c:v>300</c:v>
                </c:pt>
                <c:pt idx="15">
                  <c:v>342</c:v>
                </c:pt>
                <c:pt idx="16">
                  <c:v>331</c:v>
                </c:pt>
                <c:pt idx="17">
                  <c:v>337</c:v>
                </c:pt>
                <c:pt idx="18">
                  <c:v>306</c:v>
                </c:pt>
                <c:pt idx="19">
                  <c:v>302</c:v>
                </c:pt>
                <c:pt idx="20">
                  <c:v>266</c:v>
                </c:pt>
                <c:pt idx="21">
                  <c:v>316</c:v>
                </c:pt>
                <c:pt idx="22">
                  <c:v>255</c:v>
                </c:pt>
                <c:pt idx="23">
                  <c:v>315</c:v>
                </c:pt>
                <c:pt idx="24">
                  <c:v>301</c:v>
                </c:pt>
                <c:pt idx="25">
                  <c:v>309</c:v>
                </c:pt>
                <c:pt idx="26">
                  <c:v>311</c:v>
                </c:pt>
                <c:pt idx="27">
                  <c:v>301</c:v>
                </c:pt>
                <c:pt idx="28">
                  <c:v>268</c:v>
                </c:pt>
                <c:pt idx="29">
                  <c:v>232</c:v>
                </c:pt>
                <c:pt idx="30">
                  <c:v>233</c:v>
                </c:pt>
                <c:pt idx="31">
                  <c:v>243</c:v>
                </c:pt>
                <c:pt idx="32">
                  <c:v>258</c:v>
                </c:pt>
                <c:pt idx="33">
                  <c:v>236</c:v>
                </c:pt>
                <c:pt idx="34">
                  <c:v>224</c:v>
                </c:pt>
                <c:pt idx="35">
                  <c:v>218</c:v>
                </c:pt>
                <c:pt idx="36">
                  <c:v>229</c:v>
                </c:pt>
                <c:pt idx="37">
                  <c:v>228</c:v>
                </c:pt>
                <c:pt idx="38">
                  <c:v>206</c:v>
                </c:pt>
                <c:pt idx="39">
                  <c:v>222</c:v>
                </c:pt>
                <c:pt idx="40">
                  <c:v>213</c:v>
                </c:pt>
                <c:pt idx="41">
                  <c:v>239</c:v>
                </c:pt>
                <c:pt idx="42">
                  <c:v>197</c:v>
                </c:pt>
                <c:pt idx="43">
                  <c:v>222</c:v>
                </c:pt>
                <c:pt idx="44">
                  <c:v>191</c:v>
                </c:pt>
                <c:pt idx="45">
                  <c:v>172</c:v>
                </c:pt>
                <c:pt idx="46" formatCode="[=0]\-;#,##0;#,##0;&quot;-&quot;">
                  <c:v>211</c:v>
                </c:pt>
              </c:numCache>
            </c:numRef>
          </c:val>
          <c:smooth val="0"/>
        </c:ser>
        <c:dLbls>
          <c:showLegendKey val="0"/>
          <c:showVal val="0"/>
          <c:showCatName val="0"/>
          <c:showSerName val="0"/>
          <c:showPercent val="0"/>
          <c:showBubbleSize val="0"/>
        </c:dLbls>
        <c:smooth val="0"/>
        <c:axId val="584401728"/>
        <c:axId val="584400160"/>
      </c:lineChart>
      <c:catAx>
        <c:axId val="584401728"/>
        <c:scaling>
          <c:orientation val="minMax"/>
        </c:scaling>
        <c:delete val="0"/>
        <c:axPos val="b"/>
        <c:numFmt formatCode="General" sourceLinked="1"/>
        <c:majorTickMark val="out"/>
        <c:minorTickMark val="none"/>
        <c:tickLblPos val="nextTo"/>
        <c:crossAx val="584400160"/>
        <c:crosses val="autoZero"/>
        <c:auto val="1"/>
        <c:lblAlgn val="ctr"/>
        <c:lblOffset val="100"/>
        <c:noMultiLvlLbl val="0"/>
      </c:catAx>
      <c:valAx>
        <c:axId val="584400160"/>
        <c:scaling>
          <c:orientation val="minMax"/>
        </c:scaling>
        <c:delete val="0"/>
        <c:axPos val="l"/>
        <c:majorGridlines/>
        <c:numFmt formatCode="###0" sourceLinked="1"/>
        <c:majorTickMark val="out"/>
        <c:minorTickMark val="none"/>
        <c:tickLblPos val="nextTo"/>
        <c:crossAx val="584401728"/>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Arial"/>
                <a:ea typeface="Arial"/>
                <a:cs typeface="Arial"/>
              </a:defRPr>
            </a:pPr>
            <a:r>
              <a:rPr lang="de-DE"/>
              <a:t>
3-Jahres-Mittelwert (2009-2011)</a:t>
            </a:r>
          </a:p>
        </c:rich>
      </c:tx>
      <c:layout>
        <c:manualLayout>
          <c:xMode val="edge"/>
          <c:yMode val="edge"/>
          <c:x val="0.33195967008978244"/>
          <c:y val="1.1364357898376474E-2"/>
        </c:manualLayout>
      </c:layout>
      <c:overlay val="0"/>
      <c:spPr>
        <a:noFill/>
        <a:ln w="25400">
          <a:noFill/>
        </a:ln>
      </c:spPr>
    </c:title>
    <c:autoTitleDeleted val="0"/>
    <c:plotArea>
      <c:layout>
        <c:manualLayout>
          <c:layoutTarget val="inner"/>
          <c:xMode val="edge"/>
          <c:yMode val="edge"/>
          <c:x val="0.10851648351648352"/>
          <c:y val="0.13649279227410632"/>
          <c:w val="0.86675824175824179"/>
          <c:h val="0.6089613034623218"/>
        </c:manualLayout>
      </c:layout>
      <c:barChart>
        <c:barDir val="col"/>
        <c:grouping val="clustered"/>
        <c:varyColors val="0"/>
        <c:ser>
          <c:idx val="0"/>
          <c:order val="0"/>
          <c:tx>
            <c:v>2009-2011</c:v>
          </c:tx>
          <c:spPr>
            <a:solidFill>
              <a:srgbClr val="99CCFF"/>
            </a:solidFill>
            <a:ln w="12700">
              <a:solidFill>
                <a:srgbClr val="000000"/>
              </a:solidFill>
              <a:prstDash val="solid"/>
            </a:ln>
          </c:spPr>
          <c:invertIfNegative val="0"/>
          <c:dPt>
            <c:idx val="1"/>
            <c:invertIfNegative val="0"/>
            <c:bubble3D val="0"/>
            <c:spPr>
              <a:solidFill>
                <a:srgbClr val="00CCFF"/>
              </a:solidFill>
              <a:ln w="12700">
                <a:solidFill>
                  <a:srgbClr val="000000"/>
                </a:solidFill>
                <a:prstDash val="solid"/>
              </a:ln>
            </c:spPr>
          </c:dPt>
          <c:dPt>
            <c:idx val="2"/>
            <c:invertIfNegative val="0"/>
            <c:bubble3D val="0"/>
            <c:spPr>
              <a:solidFill>
                <a:srgbClr val="3366FF"/>
              </a:solidFill>
              <a:ln w="12700">
                <a:solidFill>
                  <a:srgbClr val="000000"/>
                </a:solidFill>
                <a:prstDash val="solid"/>
              </a:ln>
            </c:spPr>
          </c:dPt>
          <c:dPt>
            <c:idx val="3"/>
            <c:invertIfNegative val="0"/>
            <c:bubble3D val="0"/>
            <c:spPr>
              <a:solidFill>
                <a:srgbClr val="0000FF"/>
              </a:solidFill>
              <a:ln w="12700">
                <a:solidFill>
                  <a:srgbClr val="000000"/>
                </a:solidFill>
                <a:prstDash val="solid"/>
              </a:ln>
            </c:spPr>
          </c:dPt>
          <c:dPt>
            <c:idx val="4"/>
            <c:invertIfNegative val="0"/>
            <c:bubble3D val="0"/>
            <c:spPr>
              <a:solidFill>
                <a:srgbClr val="333399"/>
              </a:solidFill>
              <a:ln w="12700">
                <a:solidFill>
                  <a:srgbClr val="000000"/>
                </a:solidFill>
                <a:prstDash val="solid"/>
              </a:ln>
            </c:spPr>
          </c:dPt>
          <c:dPt>
            <c:idx val="5"/>
            <c:invertIfNegative val="0"/>
            <c:bubble3D val="0"/>
            <c:spPr>
              <a:solidFill>
                <a:srgbClr val="000080"/>
              </a:solidFill>
              <a:ln w="12700">
                <a:solidFill>
                  <a:srgbClr val="000000"/>
                </a:solidFill>
                <a:prstDash val="solid"/>
              </a:ln>
            </c:spPr>
          </c:dPt>
          <c:dPt>
            <c:idx val="6"/>
            <c:invertIfNegative val="0"/>
            <c:bubble3D val="0"/>
            <c:spPr>
              <a:noFill/>
              <a:ln w="12700">
                <a:solidFill>
                  <a:srgbClr val="000000"/>
                </a:solidFill>
                <a:prstDash val="solid"/>
              </a:ln>
            </c:spPr>
          </c:dPt>
          <c:dPt>
            <c:idx val="7"/>
            <c:invertIfNegative val="0"/>
            <c:bubble3D val="0"/>
            <c:spPr>
              <a:solidFill>
                <a:srgbClr val="800000"/>
              </a:solidFill>
              <a:ln w="12700">
                <a:solidFill>
                  <a:srgbClr val="000000"/>
                </a:solidFill>
                <a:prstDash val="solid"/>
              </a:ln>
            </c:spPr>
          </c:dPt>
          <c:dPt>
            <c:idx val="8"/>
            <c:invertIfNegative val="0"/>
            <c:bubble3D val="0"/>
            <c:spPr>
              <a:solidFill>
                <a:srgbClr val="993300"/>
              </a:solidFill>
              <a:ln w="12700">
                <a:solidFill>
                  <a:srgbClr val="000000"/>
                </a:solidFill>
                <a:prstDash val="solid"/>
              </a:ln>
            </c:spPr>
          </c:dPt>
          <c:dPt>
            <c:idx val="9"/>
            <c:invertIfNegative val="0"/>
            <c:bubble3D val="0"/>
            <c:spPr>
              <a:solidFill>
                <a:srgbClr val="FF0000"/>
              </a:solidFill>
              <a:ln w="12700">
                <a:solidFill>
                  <a:srgbClr val="000000"/>
                </a:solidFill>
                <a:prstDash val="solid"/>
              </a:ln>
            </c:spPr>
          </c:dPt>
          <c:cat>
            <c:strLit>
              <c:ptCount val="10"/>
              <c:pt idx="0">
                <c:v>Burgenland </c:v>
              </c:pt>
              <c:pt idx="1">
                <c:v>Wien  </c:v>
              </c:pt>
              <c:pt idx="2">
                <c:v>Vorarlberg </c:v>
              </c:pt>
              <c:pt idx="3">
                <c:v>Tirol </c:v>
              </c:pt>
              <c:pt idx="4">
                <c:v>Salzburg  </c:v>
              </c:pt>
              <c:pt idx="5">
                <c:v>Niederösterreich </c:v>
              </c:pt>
              <c:pt idx="6">
                <c:v>Österreich</c:v>
              </c:pt>
              <c:pt idx="7">
                <c:v>Oberösterreich  </c:v>
              </c:pt>
              <c:pt idx="8">
                <c:v>Kärnten </c:v>
              </c:pt>
              <c:pt idx="9">
                <c:v>Steiermark  </c:v>
              </c:pt>
            </c:strLit>
          </c:cat>
          <c:val>
            <c:numLit>
              <c:formatCode>General</c:formatCode>
              <c:ptCount val="10"/>
              <c:pt idx="0">
                <c:v>12.076405364846835</c:v>
              </c:pt>
              <c:pt idx="1">
                <c:v>12.597397638378204</c:v>
              </c:pt>
              <c:pt idx="2">
                <c:v>13.714907677003467</c:v>
              </c:pt>
              <c:pt idx="3">
                <c:v>14.178166705445749</c:v>
              </c:pt>
              <c:pt idx="4">
                <c:v>14.818555176192413</c:v>
              </c:pt>
              <c:pt idx="5">
                <c:v>15.130120362949617</c:v>
              </c:pt>
              <c:pt idx="6">
                <c:v>15.175702593755025</c:v>
              </c:pt>
              <c:pt idx="7">
                <c:v>15.901859963424821</c:v>
              </c:pt>
              <c:pt idx="8">
                <c:v>17.529276900229146</c:v>
              </c:pt>
              <c:pt idx="9">
                <c:v>18.851640286870619</c:v>
              </c:pt>
            </c:numLit>
          </c:val>
        </c:ser>
        <c:dLbls>
          <c:showLegendKey val="0"/>
          <c:showVal val="0"/>
          <c:showCatName val="0"/>
          <c:showSerName val="0"/>
          <c:showPercent val="0"/>
          <c:showBubbleSize val="0"/>
        </c:dLbls>
        <c:gapWidth val="150"/>
        <c:axId val="584398200"/>
        <c:axId val="387663520"/>
      </c:barChart>
      <c:catAx>
        <c:axId val="584398200"/>
        <c:scaling>
          <c:orientation val="minMax"/>
        </c:scaling>
        <c:delete val="0"/>
        <c:axPos val="b"/>
        <c:numFmt formatCode="General" sourceLinked="1"/>
        <c:majorTickMark val="out"/>
        <c:minorTickMark val="none"/>
        <c:tickLblPos val="nextTo"/>
        <c:spPr>
          <a:ln w="3175">
            <a:solidFill>
              <a:srgbClr val="000000"/>
            </a:solidFill>
            <a:prstDash val="solid"/>
          </a:ln>
        </c:spPr>
        <c:txPr>
          <a:bodyPr rot="-2700000" vert="horz"/>
          <a:lstStyle/>
          <a:p>
            <a:pPr>
              <a:defRPr sz="1050" b="0" i="0" u="none" strike="noStrike" baseline="0">
                <a:solidFill>
                  <a:srgbClr val="000000"/>
                </a:solidFill>
                <a:latin typeface="Arial"/>
                <a:ea typeface="Arial"/>
                <a:cs typeface="Arial"/>
              </a:defRPr>
            </a:pPr>
            <a:endParaRPr lang="de-DE"/>
          </a:p>
        </c:txPr>
        <c:crossAx val="387663520"/>
        <c:crosses val="autoZero"/>
        <c:auto val="1"/>
        <c:lblAlgn val="ctr"/>
        <c:lblOffset val="100"/>
        <c:tickLblSkip val="1"/>
        <c:tickMarkSkip val="1"/>
        <c:noMultiLvlLbl val="0"/>
      </c:catAx>
      <c:valAx>
        <c:axId val="387663520"/>
        <c:scaling>
          <c:orientation val="minMax"/>
        </c:scaling>
        <c:delete val="0"/>
        <c:axPos val="l"/>
        <c:majorGridlines>
          <c:spPr>
            <a:ln w="3175">
              <a:solidFill>
                <a:srgbClr val="000000"/>
              </a:solidFill>
              <a:prstDash val="solid"/>
            </a:ln>
          </c:spPr>
        </c:majorGridlines>
        <c:title>
          <c:tx>
            <c:rich>
              <a:bodyPr/>
              <a:lstStyle/>
              <a:p>
                <a:pPr>
                  <a:defRPr sz="1100" b="1" i="0" u="none" strike="noStrike" baseline="0">
                    <a:solidFill>
                      <a:srgbClr val="000000"/>
                    </a:solidFill>
                    <a:latin typeface="Arial"/>
                    <a:ea typeface="Arial"/>
                    <a:cs typeface="Arial"/>
                  </a:defRPr>
                </a:pPr>
                <a:r>
                  <a:rPr lang="de-DE"/>
                  <a:t>Suizidraten pro 100.000</a:t>
                </a:r>
              </a:p>
            </c:rich>
          </c:tx>
          <c:layout>
            <c:manualLayout>
              <c:xMode val="edge"/>
              <c:yMode val="edge"/>
              <c:x val="1.694139365265426E-2"/>
              <c:y val="0.22894620208402092"/>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de-DE"/>
          </a:p>
        </c:txPr>
        <c:crossAx val="584398200"/>
        <c:crosses val="autoZero"/>
        <c:crossBetween val="between"/>
      </c:valAx>
      <c:spPr>
        <a:noFill/>
        <a:ln w="12700">
          <a:solidFill>
            <a:srgbClr val="808080"/>
          </a:solidFill>
          <a:prstDash val="solid"/>
        </a:ln>
      </c:spPr>
    </c:plotArea>
    <c:plotVisOnly val="1"/>
    <c:dispBlanksAs val="gap"/>
    <c:showDLblsOverMax val="0"/>
  </c:chart>
  <c:spPr>
    <a:solidFill>
      <a:srgbClr val="FFFFFF"/>
    </a:solidFill>
    <a:ln w="9525">
      <a:noFill/>
    </a:ln>
  </c:spPr>
  <c:txPr>
    <a:bodyPr/>
    <a:lstStyle/>
    <a:p>
      <a:pPr>
        <a:defRPr sz="1000" b="0" i="0" u="none" strike="noStrike" baseline="0">
          <a:solidFill>
            <a:srgbClr val="000000"/>
          </a:solidFill>
          <a:latin typeface="Arial"/>
          <a:ea typeface="Arial"/>
          <a:cs typeface="Arial"/>
        </a:defRPr>
      </a:pPr>
      <a:endParaRPr lang="de-DE"/>
    </a:p>
  </c:txPr>
  <c:externalData r:id="rId1">
    <c:autoUpdate val="0"/>
  </c:externalData>
</c:chartSpace>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797</Words>
  <Characters>5025</Characters>
  <Application>Microsoft Office Word</Application>
  <DocSecurity>4</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Medizinische Universitaet Wien</Company>
  <LinksUpToDate>false</LinksUpToDate>
  <CharactersWithSpaces>5811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Barbara Eckerstorfer</cp:lastModifiedBy>
  <cp:revision>2</cp:revision>
  <dcterms:created xsi:type="dcterms:W3CDTF">2017-09-07T11:30:00Z</dcterms:created>
  <dcterms:modified xsi:type="dcterms:W3CDTF">2017-09-07T11:30:00Z</dcterms:modified>
</cp:coreProperties>
</file>